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B848BA4" w14:textId="07A9C8C0" w:rsidR="0010533F" w:rsidRDefault="00693CCB" w:rsidP="0010533F">
      <w:pPr>
        <w:pStyle w:val="Normal1"/>
        <w:jc w:val="center"/>
        <w:rPr>
          <w:sz w:val="28"/>
        </w:rPr>
      </w:pPr>
      <w:r>
        <w:rPr>
          <w:sz w:val="28"/>
        </w:rPr>
        <w:t xml:space="preserve">MSC </w:t>
      </w:r>
      <w:r w:rsidR="00CE2E1C">
        <w:rPr>
          <w:sz w:val="28"/>
        </w:rPr>
        <w:t>Teaching Guide</w:t>
      </w:r>
      <w:r>
        <w:rPr>
          <w:sz w:val="28"/>
        </w:rPr>
        <w:t xml:space="preserve"> </w:t>
      </w:r>
      <w:r w:rsidR="00CF796F">
        <w:rPr>
          <w:sz w:val="28"/>
        </w:rPr>
        <w:t>Template</w:t>
      </w:r>
    </w:p>
    <w:p w14:paraId="3ABAD814" w14:textId="4F3E4D1A" w:rsidR="00CF796F" w:rsidRPr="00B24770" w:rsidRDefault="00CF796F" w:rsidP="00CF796F">
      <w:pPr>
        <w:pStyle w:val="Normal1"/>
        <w:jc w:val="center"/>
        <w:rPr>
          <w:i/>
          <w:sz w:val="20"/>
        </w:rPr>
      </w:pPr>
      <w:r w:rsidRPr="00B24770">
        <w:rPr>
          <w:i/>
          <w:sz w:val="24"/>
        </w:rPr>
        <w:t xml:space="preserve">– Using </w:t>
      </w:r>
      <w:r w:rsidR="00CE2E1C">
        <w:rPr>
          <w:i/>
          <w:sz w:val="24"/>
        </w:rPr>
        <w:t>Green Mountain Power case</w:t>
      </w:r>
      <w:r w:rsidR="00C1707B">
        <w:rPr>
          <w:i/>
          <w:sz w:val="24"/>
        </w:rPr>
        <w:t xml:space="preserve"> </w:t>
      </w:r>
      <w:r w:rsidRPr="00B24770">
        <w:rPr>
          <w:i/>
          <w:sz w:val="24"/>
        </w:rPr>
        <w:t>content as dummy text</w:t>
      </w:r>
    </w:p>
    <w:p w14:paraId="122DB225" w14:textId="77777777" w:rsidR="00CF796F" w:rsidRDefault="00CF796F" w:rsidP="00CF796F">
      <w:pPr>
        <w:pStyle w:val="Normal1"/>
      </w:pPr>
    </w:p>
    <w:p w14:paraId="29252CA0" w14:textId="6FB25FDC" w:rsidR="00CF796F" w:rsidRDefault="00CF796F" w:rsidP="00CF796F">
      <w:pPr>
        <w:pStyle w:val="Normal1"/>
      </w:pPr>
      <w:r>
        <w:t xml:space="preserve">[Please replace the </w:t>
      </w:r>
      <w:r w:rsidRPr="00AB7780">
        <w:rPr>
          <w:color w:val="A6A6A6" w:themeColor="background1" w:themeShade="A6"/>
        </w:rPr>
        <w:t>greyed out text</w:t>
      </w:r>
      <w:r>
        <w:t xml:space="preserve"> with your own content.]</w:t>
      </w:r>
    </w:p>
    <w:p w14:paraId="5B5DDB81" w14:textId="77777777" w:rsidR="00CF796F" w:rsidRDefault="00CF796F" w:rsidP="0010533F">
      <w:pPr>
        <w:pStyle w:val="Normal1"/>
        <w:jc w:val="center"/>
      </w:pPr>
    </w:p>
    <w:p w14:paraId="380EC194" w14:textId="77777777" w:rsidR="00CF796F" w:rsidRDefault="00CF796F" w:rsidP="00CF796F">
      <w:pPr>
        <w:pStyle w:val="Normal1"/>
        <w:rPr>
          <w:b/>
        </w:rPr>
      </w:pPr>
    </w:p>
    <w:p w14:paraId="6740D3B7" w14:textId="77777777" w:rsidR="00AE6C08" w:rsidRDefault="00CE2E1C" w:rsidP="00D06D63">
      <w:pPr>
        <w:rPr>
          <w:b/>
        </w:rPr>
      </w:pPr>
      <w:r>
        <w:rPr>
          <w:b/>
        </w:rPr>
        <w:t>Case Overview</w:t>
      </w:r>
      <w:r w:rsidR="00CF796F" w:rsidRPr="00CF796F">
        <w:rPr>
          <w:b/>
        </w:rPr>
        <w:t xml:space="preserve"> </w:t>
      </w:r>
    </w:p>
    <w:p w14:paraId="69F16966" w14:textId="3D070991" w:rsidR="00D06D63" w:rsidRPr="00D06D63" w:rsidRDefault="00D06D63" w:rsidP="00D06D63">
      <w:pPr>
        <w:rPr>
          <w:color w:val="A6A6A6" w:themeColor="background1" w:themeShade="A6"/>
        </w:rPr>
      </w:pPr>
      <w:r w:rsidRPr="00D06D63">
        <w:rPr>
          <w:color w:val="A6A6A6" w:themeColor="background1" w:themeShade="A6"/>
        </w:rPr>
        <w:t xml:space="preserve">The case opens in June of 2015 with the Chief Innovation Executive of Green Mountain Power (GMP), Josh </w:t>
      </w:r>
      <w:proofErr w:type="spellStart"/>
      <w:r w:rsidRPr="00D06D63">
        <w:rPr>
          <w:color w:val="A6A6A6" w:themeColor="background1" w:themeShade="A6"/>
        </w:rPr>
        <w:t>Castonguay</w:t>
      </w:r>
      <w:proofErr w:type="spellEnd"/>
      <w:r w:rsidRPr="00D06D63">
        <w:rPr>
          <w:color w:val="A6A6A6" w:themeColor="background1" w:themeShade="A6"/>
        </w:rPr>
        <w:t xml:space="preserve">, thinking through the merits and risks of an innovative new program he proposed to GMP’s CEO. GMP is an investor-owned utility in Vermont known in the industry for its strong customer focus and mission to move toward a distributed, localized energy future. </w:t>
      </w:r>
    </w:p>
    <w:p w14:paraId="6D655A19" w14:textId="77777777" w:rsidR="00D06D63" w:rsidRPr="00D06D63" w:rsidRDefault="00D06D63" w:rsidP="00D06D63">
      <w:pPr>
        <w:rPr>
          <w:color w:val="A6A6A6" w:themeColor="background1" w:themeShade="A6"/>
        </w:rPr>
      </w:pPr>
    </w:p>
    <w:p w14:paraId="643E6E6F" w14:textId="77777777" w:rsidR="00D06D63" w:rsidRPr="00D06D63" w:rsidRDefault="00D06D63" w:rsidP="00D06D63">
      <w:pPr>
        <w:rPr>
          <w:color w:val="A6A6A6" w:themeColor="background1" w:themeShade="A6"/>
        </w:rPr>
      </w:pPr>
      <w:proofErr w:type="spellStart"/>
      <w:r w:rsidRPr="00D06D63">
        <w:rPr>
          <w:color w:val="A6A6A6" w:themeColor="background1" w:themeShade="A6"/>
        </w:rPr>
        <w:t>Castonguay</w:t>
      </w:r>
      <w:proofErr w:type="spellEnd"/>
      <w:r w:rsidRPr="00D06D63">
        <w:rPr>
          <w:color w:val="A6A6A6" w:themeColor="background1" w:themeShade="A6"/>
        </w:rPr>
        <w:t xml:space="preserve"> has until the end of the week to decide whether to recommend that GMP move forward with a new partnership with Tesla in order to offer GMP’s residential customers the newly announced Powerwall Home Battery. The goal of the partnership is to provide GMP’s customers with a reliable source of backup power at the cutting edge of the consumer-facing energy industry, while allowing GMP to aggregate and leverage behind-the-meter storage capacity to provide services to the grid. In order to create these multi-stakeholder benefits, however, GMP needs at least some level of control over how much and when customer-sited batteries are charged and discharged. This kind of hybrid control system is relatively new and untested within the utility industry, meaning GMP would venture into uncharted territory if it moves forward with the partnership.</w:t>
      </w:r>
    </w:p>
    <w:p w14:paraId="4A1F942E" w14:textId="77777777" w:rsidR="00D06D63" w:rsidRPr="00D06D63" w:rsidRDefault="00D06D63" w:rsidP="00D06D63">
      <w:pPr>
        <w:rPr>
          <w:color w:val="A6A6A6" w:themeColor="background1" w:themeShade="A6"/>
        </w:rPr>
      </w:pPr>
    </w:p>
    <w:p w14:paraId="758439F7" w14:textId="0F7E890E" w:rsidR="00CF796F" w:rsidRPr="00D06D63" w:rsidRDefault="00D06D63" w:rsidP="00D06D63">
      <w:r w:rsidRPr="00D06D63">
        <w:rPr>
          <w:color w:val="A6A6A6" w:themeColor="background1" w:themeShade="A6"/>
        </w:rPr>
        <w:t xml:space="preserve">The experimental, forward-looking nature of the proposed pilot pushes </w:t>
      </w:r>
      <w:proofErr w:type="spellStart"/>
      <w:r w:rsidRPr="00D06D63">
        <w:rPr>
          <w:color w:val="A6A6A6" w:themeColor="background1" w:themeShade="A6"/>
        </w:rPr>
        <w:t>Castonguay</w:t>
      </w:r>
      <w:proofErr w:type="spellEnd"/>
      <w:r w:rsidRPr="00D06D63">
        <w:rPr>
          <w:color w:val="A6A6A6" w:themeColor="background1" w:themeShade="A6"/>
        </w:rPr>
        <w:t xml:space="preserve"> to consider issues of operations, utility economics, early technology adoption, and disruption in a conservative industry. </w:t>
      </w:r>
      <w:r>
        <w:t xml:space="preserve"> </w:t>
      </w:r>
    </w:p>
    <w:p w14:paraId="2CDBEB77" w14:textId="77777777" w:rsidR="00CF796F" w:rsidRPr="00CF796F" w:rsidRDefault="00CF796F" w:rsidP="0010533F">
      <w:pPr>
        <w:pStyle w:val="Normal1"/>
        <w:rPr>
          <w:b/>
        </w:rPr>
      </w:pPr>
    </w:p>
    <w:p w14:paraId="122B6171" w14:textId="5206E3B4" w:rsidR="00D06D63" w:rsidRDefault="00CE2E1C">
      <w:pPr>
        <w:pStyle w:val="Normal1"/>
        <w:rPr>
          <w:b/>
        </w:rPr>
      </w:pPr>
      <w:r>
        <w:rPr>
          <w:b/>
        </w:rPr>
        <w:t>Learning Objectives</w:t>
      </w:r>
    </w:p>
    <w:p w14:paraId="42EB7E80" w14:textId="77777777" w:rsidR="00D06D63" w:rsidRPr="00D06D63" w:rsidRDefault="00D06D63" w:rsidP="00D06D63">
      <w:pPr>
        <w:rPr>
          <w:color w:val="A6A6A6" w:themeColor="background1" w:themeShade="A6"/>
        </w:rPr>
      </w:pPr>
      <w:r w:rsidRPr="00D06D63">
        <w:rPr>
          <w:color w:val="A6A6A6" w:themeColor="background1" w:themeShade="A6"/>
        </w:rPr>
        <w:t>After reading and discussing the case, students should be able to:</w:t>
      </w:r>
    </w:p>
    <w:p w14:paraId="5F60BD2E" w14:textId="77777777" w:rsidR="00D06D63" w:rsidRPr="00D06D63" w:rsidRDefault="00D06D63" w:rsidP="00D06D63">
      <w:pPr>
        <w:rPr>
          <w:color w:val="A6A6A6" w:themeColor="background1" w:themeShade="A6"/>
        </w:rPr>
      </w:pPr>
    </w:p>
    <w:p w14:paraId="1D466EE5" w14:textId="77777777" w:rsidR="00D06D63" w:rsidRPr="00D06D63" w:rsidRDefault="00D06D63" w:rsidP="00D06D63">
      <w:pPr>
        <w:numPr>
          <w:ilvl w:val="0"/>
          <w:numId w:val="11"/>
        </w:numPr>
        <w:contextualSpacing/>
        <w:rPr>
          <w:color w:val="A6A6A6" w:themeColor="background1" w:themeShade="A6"/>
        </w:rPr>
      </w:pPr>
      <w:r w:rsidRPr="00D06D63">
        <w:rPr>
          <w:color w:val="A6A6A6" w:themeColor="background1" w:themeShade="A6"/>
        </w:rPr>
        <w:t>Understand the utility business model, its purpose, and how it influences the adoption of distributed energy resources.</w:t>
      </w:r>
    </w:p>
    <w:p w14:paraId="32191139" w14:textId="77777777" w:rsidR="00D06D63" w:rsidRPr="00D06D63" w:rsidRDefault="00D06D63" w:rsidP="00D06D63">
      <w:pPr>
        <w:numPr>
          <w:ilvl w:val="0"/>
          <w:numId w:val="11"/>
        </w:numPr>
        <w:contextualSpacing/>
        <w:rPr>
          <w:color w:val="A6A6A6" w:themeColor="background1" w:themeShade="A6"/>
        </w:rPr>
      </w:pPr>
      <w:r w:rsidRPr="00D06D63">
        <w:rPr>
          <w:color w:val="A6A6A6" w:themeColor="background1" w:themeShade="A6"/>
        </w:rPr>
        <w:t>Explain the role of capacity markets and how behind-the-meter energy storage might lower the need for resource adequacy.</w:t>
      </w:r>
    </w:p>
    <w:p w14:paraId="06B67CDF" w14:textId="77777777" w:rsidR="00D06D63" w:rsidRPr="00D06D63" w:rsidRDefault="00D06D63" w:rsidP="00D06D63">
      <w:pPr>
        <w:numPr>
          <w:ilvl w:val="0"/>
          <w:numId w:val="11"/>
        </w:numPr>
        <w:contextualSpacing/>
        <w:rPr>
          <w:color w:val="A6A6A6" w:themeColor="background1" w:themeShade="A6"/>
        </w:rPr>
      </w:pPr>
      <w:r w:rsidRPr="00D06D63">
        <w:rPr>
          <w:color w:val="A6A6A6" w:themeColor="background1" w:themeShade="A6"/>
        </w:rPr>
        <w:t>Evaluate the behind-the-meter storage value propositions for customers and utilities.</w:t>
      </w:r>
    </w:p>
    <w:p w14:paraId="21E11D3A" w14:textId="77777777" w:rsidR="00D06D63" w:rsidRPr="00D06D63" w:rsidRDefault="00D06D63" w:rsidP="00D06D63">
      <w:pPr>
        <w:numPr>
          <w:ilvl w:val="0"/>
          <w:numId w:val="11"/>
        </w:numPr>
        <w:contextualSpacing/>
        <w:rPr>
          <w:color w:val="A6A6A6" w:themeColor="background1" w:themeShade="A6"/>
        </w:rPr>
      </w:pPr>
      <w:r w:rsidRPr="00D06D63">
        <w:rPr>
          <w:color w:val="A6A6A6" w:themeColor="background1" w:themeShade="A6"/>
        </w:rPr>
        <w:t>Understand some of the importance drivers that determine the environmental impact of energy storage systems.</w:t>
      </w:r>
    </w:p>
    <w:p w14:paraId="77384E92" w14:textId="542B05F9" w:rsidR="00CF796F" w:rsidRPr="00D06D63" w:rsidRDefault="00D06D63" w:rsidP="00D06D63">
      <w:pPr>
        <w:pStyle w:val="ListParagraph"/>
        <w:numPr>
          <w:ilvl w:val="0"/>
          <w:numId w:val="11"/>
        </w:numPr>
        <w:rPr>
          <w:color w:val="A6A6A6" w:themeColor="background1" w:themeShade="A6"/>
        </w:rPr>
      </w:pPr>
      <w:r w:rsidRPr="00D06D63">
        <w:rPr>
          <w:color w:val="A6A6A6" w:themeColor="background1" w:themeShade="A6"/>
        </w:rPr>
        <w:t>Determine how an innovative pilot such as the Tesla partnership can impact utility operations, investors, and customers (both participants and non-participants).</w:t>
      </w:r>
    </w:p>
    <w:p w14:paraId="2545D44B" w14:textId="77777777" w:rsidR="00D06D63" w:rsidRPr="00CF796F" w:rsidRDefault="00D06D63" w:rsidP="00D06D63"/>
    <w:p w14:paraId="78455004" w14:textId="6D5A5D09" w:rsidR="00CF796F" w:rsidRPr="00C1707B" w:rsidRDefault="00CE2E1C">
      <w:pPr>
        <w:pStyle w:val="Normal1"/>
        <w:rPr>
          <w:b/>
        </w:rPr>
      </w:pPr>
      <w:r>
        <w:rPr>
          <w:b/>
        </w:rPr>
        <w:t>Suggested Audience</w:t>
      </w:r>
    </w:p>
    <w:p w14:paraId="67BC8D88" w14:textId="77777777" w:rsidR="00D06D63" w:rsidRPr="00D06D63" w:rsidRDefault="00D06D63" w:rsidP="00D06D63">
      <w:pPr>
        <w:rPr>
          <w:color w:val="A6A6A6" w:themeColor="background1" w:themeShade="A6"/>
        </w:rPr>
      </w:pPr>
      <w:r w:rsidRPr="00D06D63">
        <w:rPr>
          <w:color w:val="A6A6A6" w:themeColor="background1" w:themeShade="A6"/>
        </w:rPr>
        <w:t xml:space="preserve">This case was written for the graduate course “Renewable Electricity and the Grid” at the University of Michigan. The objective of this course is to aid professional students in the development of skills, practical tools, and a knowledge base useful for careers in the energy sector, spanning project development, utilities, research, government, and environmental </w:t>
      </w:r>
      <w:r w:rsidRPr="00D06D63">
        <w:rPr>
          <w:color w:val="A6A6A6" w:themeColor="background1" w:themeShade="A6"/>
        </w:rPr>
        <w:lastRenderedPageBreak/>
        <w:t>nonprofits. This course builds an understanding of the technical, economic, and policy issues related to renewable electricity development and grid integration.</w:t>
      </w:r>
    </w:p>
    <w:p w14:paraId="478E7FB6" w14:textId="77777777" w:rsidR="00D06D63" w:rsidRPr="00D06D63" w:rsidRDefault="00D06D63" w:rsidP="00D06D63">
      <w:pPr>
        <w:rPr>
          <w:color w:val="A6A6A6" w:themeColor="background1" w:themeShade="A6"/>
        </w:rPr>
      </w:pPr>
    </w:p>
    <w:p w14:paraId="40C632C6" w14:textId="77777777" w:rsidR="00D06D63" w:rsidRPr="00D06D63" w:rsidRDefault="00D06D63" w:rsidP="00D06D63">
      <w:pPr>
        <w:rPr>
          <w:color w:val="A6A6A6" w:themeColor="background1" w:themeShade="A6"/>
        </w:rPr>
      </w:pPr>
      <w:r w:rsidRPr="00D06D63">
        <w:rPr>
          <w:color w:val="A6A6A6" w:themeColor="background1" w:themeShade="A6"/>
        </w:rPr>
        <w:t>The case may be useful for courses involving:</w:t>
      </w:r>
    </w:p>
    <w:p w14:paraId="0E969E9D" w14:textId="77777777" w:rsidR="00D06D63" w:rsidRPr="00D06D63" w:rsidRDefault="00D06D63" w:rsidP="00D06D63">
      <w:pPr>
        <w:numPr>
          <w:ilvl w:val="0"/>
          <w:numId w:val="8"/>
        </w:numPr>
        <w:contextualSpacing/>
        <w:rPr>
          <w:color w:val="A6A6A6" w:themeColor="background1" w:themeShade="A6"/>
        </w:rPr>
      </w:pPr>
      <w:proofErr w:type="spellStart"/>
      <w:r w:rsidRPr="00D06D63">
        <w:rPr>
          <w:color w:val="A6A6A6" w:themeColor="background1" w:themeShade="A6"/>
        </w:rPr>
        <w:t>Cleantech</w:t>
      </w:r>
      <w:proofErr w:type="spellEnd"/>
      <w:r w:rsidRPr="00D06D63">
        <w:rPr>
          <w:color w:val="A6A6A6" w:themeColor="background1" w:themeShade="A6"/>
        </w:rPr>
        <w:t xml:space="preserve"> Entrepreneurship</w:t>
      </w:r>
    </w:p>
    <w:p w14:paraId="434FA7DB" w14:textId="77777777" w:rsidR="00D06D63" w:rsidRPr="00D06D63" w:rsidRDefault="00D06D63" w:rsidP="00D06D63">
      <w:pPr>
        <w:numPr>
          <w:ilvl w:val="0"/>
          <w:numId w:val="8"/>
        </w:numPr>
        <w:contextualSpacing/>
        <w:rPr>
          <w:color w:val="A6A6A6" w:themeColor="background1" w:themeShade="A6"/>
        </w:rPr>
      </w:pPr>
      <w:r w:rsidRPr="00D06D63">
        <w:rPr>
          <w:color w:val="A6A6A6" w:themeColor="background1" w:themeShade="A6"/>
        </w:rPr>
        <w:t>Public-Private Partnerships</w:t>
      </w:r>
    </w:p>
    <w:p w14:paraId="61E74696" w14:textId="77777777" w:rsidR="00D06D63" w:rsidRPr="00D06D63" w:rsidRDefault="00D06D63" w:rsidP="00D06D63">
      <w:pPr>
        <w:numPr>
          <w:ilvl w:val="0"/>
          <w:numId w:val="8"/>
        </w:numPr>
        <w:contextualSpacing/>
        <w:rPr>
          <w:color w:val="A6A6A6" w:themeColor="background1" w:themeShade="A6"/>
        </w:rPr>
      </w:pPr>
      <w:r w:rsidRPr="00D06D63">
        <w:rPr>
          <w:color w:val="A6A6A6" w:themeColor="background1" w:themeShade="A6"/>
        </w:rPr>
        <w:t>Energy Project Finance</w:t>
      </w:r>
    </w:p>
    <w:p w14:paraId="008BD405" w14:textId="77777777" w:rsidR="00D06D63" w:rsidRPr="00D06D63" w:rsidRDefault="00D06D63" w:rsidP="00D06D63">
      <w:pPr>
        <w:numPr>
          <w:ilvl w:val="0"/>
          <w:numId w:val="8"/>
        </w:numPr>
        <w:contextualSpacing/>
        <w:rPr>
          <w:color w:val="A6A6A6" w:themeColor="background1" w:themeShade="A6"/>
        </w:rPr>
      </w:pPr>
      <w:r w:rsidRPr="00D06D63">
        <w:rPr>
          <w:color w:val="A6A6A6" w:themeColor="background1" w:themeShade="A6"/>
        </w:rPr>
        <w:t>Environmental Policy</w:t>
      </w:r>
    </w:p>
    <w:p w14:paraId="0F516A08" w14:textId="77777777" w:rsidR="00D06D63" w:rsidRPr="00D06D63" w:rsidRDefault="00D06D63" w:rsidP="00D06D63">
      <w:pPr>
        <w:numPr>
          <w:ilvl w:val="0"/>
          <w:numId w:val="8"/>
        </w:numPr>
        <w:contextualSpacing/>
        <w:rPr>
          <w:color w:val="A6A6A6" w:themeColor="background1" w:themeShade="A6"/>
        </w:rPr>
      </w:pPr>
      <w:r w:rsidRPr="00D06D63">
        <w:rPr>
          <w:color w:val="A6A6A6" w:themeColor="background1" w:themeShade="A6"/>
        </w:rPr>
        <w:t>Green Building Design/Urban Planning</w:t>
      </w:r>
    </w:p>
    <w:p w14:paraId="61F8F814" w14:textId="68193EB2" w:rsidR="00C1707B" w:rsidRPr="00D06D63" w:rsidRDefault="00D06D63" w:rsidP="00D06D63">
      <w:pPr>
        <w:numPr>
          <w:ilvl w:val="0"/>
          <w:numId w:val="8"/>
        </w:numPr>
        <w:contextualSpacing/>
        <w:rPr>
          <w:color w:val="A6A6A6" w:themeColor="background1" w:themeShade="A6"/>
        </w:rPr>
      </w:pPr>
      <w:r w:rsidRPr="00D06D63">
        <w:rPr>
          <w:color w:val="A6A6A6" w:themeColor="background1" w:themeShade="A6"/>
        </w:rPr>
        <w:t>Sustainable Energy Systems</w:t>
      </w:r>
    </w:p>
    <w:p w14:paraId="124454D0" w14:textId="77777777" w:rsidR="00C1707B" w:rsidRDefault="00C1707B" w:rsidP="00C1707B">
      <w:pPr>
        <w:pStyle w:val="Normal1"/>
      </w:pPr>
    </w:p>
    <w:p w14:paraId="31654985" w14:textId="77777777" w:rsidR="00AE6C08" w:rsidRDefault="00CE2E1C" w:rsidP="00C1707B">
      <w:pPr>
        <w:pStyle w:val="Normal1"/>
        <w:rPr>
          <w:b/>
        </w:rPr>
      </w:pPr>
      <w:r w:rsidRPr="00EF0BAA">
        <w:rPr>
          <w:b/>
        </w:rPr>
        <w:t>Previous Knowledge</w:t>
      </w:r>
    </w:p>
    <w:p w14:paraId="751B0D46" w14:textId="15C23961" w:rsidR="00C1707B" w:rsidRDefault="00EF0BAA" w:rsidP="00C1707B">
      <w:pPr>
        <w:pStyle w:val="Normal1"/>
      </w:pPr>
      <w:r>
        <w:rPr>
          <w:color w:val="A6A6A6" w:themeColor="background1" w:themeShade="A6"/>
        </w:rPr>
        <w:t>Before using this case study, students should have learned about A, B, and C (or have background in A, B, and C), and be able to do X, Y, and Z.</w:t>
      </w:r>
    </w:p>
    <w:p w14:paraId="29D924E0" w14:textId="77777777" w:rsidR="00C1707B" w:rsidRDefault="00C1707B" w:rsidP="00C1707B">
      <w:pPr>
        <w:pStyle w:val="Normal1"/>
      </w:pPr>
    </w:p>
    <w:p w14:paraId="6469C3B9" w14:textId="57200259" w:rsidR="00C1707B" w:rsidRPr="00C1707B" w:rsidRDefault="00CE2E1C" w:rsidP="00C1707B">
      <w:pPr>
        <w:pStyle w:val="Normal1"/>
        <w:rPr>
          <w:b/>
        </w:rPr>
      </w:pPr>
      <w:r>
        <w:rPr>
          <w:b/>
        </w:rPr>
        <w:t>Teaching Plan</w:t>
      </w:r>
    </w:p>
    <w:p w14:paraId="5F127DCE" w14:textId="77777777" w:rsidR="00C90458" w:rsidRPr="00C90458" w:rsidRDefault="00C90458" w:rsidP="00C90458">
      <w:pPr>
        <w:rPr>
          <w:b/>
          <w:bCs/>
          <w:color w:val="A6A6A6" w:themeColor="background1" w:themeShade="A6"/>
        </w:rPr>
      </w:pPr>
      <w:r w:rsidRPr="00C90458">
        <w:rPr>
          <w:b/>
          <w:bCs/>
          <w:color w:val="A6A6A6" w:themeColor="background1" w:themeShade="A6"/>
        </w:rPr>
        <w:t>Before class:</w:t>
      </w:r>
    </w:p>
    <w:p w14:paraId="63713262" w14:textId="77777777" w:rsidR="00C90458" w:rsidRPr="00C90458" w:rsidRDefault="00C90458" w:rsidP="00C90458">
      <w:pPr>
        <w:rPr>
          <w:color w:val="A6A6A6" w:themeColor="background1" w:themeShade="A6"/>
        </w:rPr>
      </w:pPr>
      <w:r w:rsidRPr="00C90458">
        <w:rPr>
          <w:b/>
          <w:bCs/>
          <w:color w:val="A6A6A6" w:themeColor="background1" w:themeShade="A6"/>
        </w:rPr>
        <w:tab/>
      </w:r>
      <w:r w:rsidRPr="00C90458">
        <w:rPr>
          <w:color w:val="A6A6A6" w:themeColor="background1" w:themeShade="A6"/>
        </w:rPr>
        <w:t>Read case</w:t>
      </w:r>
    </w:p>
    <w:p w14:paraId="08A6BEAF" w14:textId="77777777" w:rsidR="00C90458" w:rsidRPr="00C90458" w:rsidRDefault="00C90458" w:rsidP="00C90458">
      <w:pPr>
        <w:rPr>
          <w:color w:val="A6A6A6" w:themeColor="background1" w:themeShade="A6"/>
        </w:rPr>
      </w:pPr>
      <w:r w:rsidRPr="00C90458">
        <w:rPr>
          <w:color w:val="A6A6A6" w:themeColor="background1" w:themeShade="A6"/>
        </w:rPr>
        <w:tab/>
        <w:t>Listen to podcast</w:t>
      </w:r>
    </w:p>
    <w:p w14:paraId="7FEDF452" w14:textId="77777777" w:rsidR="00C90458" w:rsidRPr="00C90458" w:rsidRDefault="00C90458" w:rsidP="00C90458">
      <w:pPr>
        <w:rPr>
          <w:color w:val="A6A6A6" w:themeColor="background1" w:themeShade="A6"/>
        </w:rPr>
      </w:pPr>
      <w:r w:rsidRPr="00C90458">
        <w:rPr>
          <w:color w:val="A6A6A6" w:themeColor="background1" w:themeShade="A6"/>
        </w:rPr>
        <w:tab/>
        <w:t>Prepare answers to engaged learning exercise through use of spreadsheet model</w:t>
      </w:r>
    </w:p>
    <w:p w14:paraId="66C2E932" w14:textId="77777777" w:rsidR="00C90458" w:rsidRPr="00C90458" w:rsidRDefault="00C90458" w:rsidP="00C90458">
      <w:pPr>
        <w:rPr>
          <w:color w:val="A6A6A6" w:themeColor="background1" w:themeShade="A6"/>
        </w:rPr>
      </w:pPr>
      <w:r w:rsidRPr="00C90458">
        <w:rPr>
          <w:color w:val="A6A6A6" w:themeColor="background1" w:themeShade="A6"/>
        </w:rPr>
        <w:tab/>
      </w:r>
    </w:p>
    <w:p w14:paraId="5E79034C" w14:textId="77777777" w:rsidR="00C90458" w:rsidRPr="00C90458" w:rsidRDefault="00C90458" w:rsidP="0026229C">
      <w:pPr>
        <w:rPr>
          <w:color w:val="A6A6A6" w:themeColor="background1" w:themeShade="A6"/>
        </w:rPr>
      </w:pPr>
      <w:r w:rsidRPr="00C90458">
        <w:rPr>
          <w:b/>
          <w:color w:val="A6A6A6" w:themeColor="background1" w:themeShade="A6"/>
        </w:rPr>
        <w:t>Prior to discussion:</w:t>
      </w:r>
    </w:p>
    <w:p w14:paraId="6380562B" w14:textId="77777777" w:rsidR="00C90458" w:rsidRPr="00C90458" w:rsidRDefault="00C90458" w:rsidP="00C90458">
      <w:pPr>
        <w:ind w:left="720"/>
        <w:rPr>
          <w:color w:val="A6A6A6" w:themeColor="background1" w:themeShade="A6"/>
        </w:rPr>
      </w:pPr>
      <w:r w:rsidRPr="00C90458">
        <w:rPr>
          <w:color w:val="A6A6A6" w:themeColor="background1" w:themeShade="A6"/>
        </w:rPr>
        <w:t>Purpose &amp; guidance:</w:t>
      </w:r>
      <w:r w:rsidRPr="00C90458">
        <w:rPr>
          <w:color w:val="A6A6A6" w:themeColor="background1" w:themeShade="A6"/>
        </w:rPr>
        <w:tab/>
      </w:r>
      <w:r w:rsidRPr="00C90458">
        <w:rPr>
          <w:color w:val="A6A6A6" w:themeColor="background1" w:themeShade="A6"/>
        </w:rPr>
        <w:tab/>
      </w:r>
      <w:r w:rsidRPr="00C90458">
        <w:rPr>
          <w:color w:val="A6A6A6" w:themeColor="background1" w:themeShade="A6"/>
        </w:rPr>
        <w:tab/>
        <w:t>(5 minutes)</w:t>
      </w:r>
    </w:p>
    <w:p w14:paraId="4D76AE79" w14:textId="77777777" w:rsidR="00C90458" w:rsidRPr="00C90458" w:rsidRDefault="00C90458" w:rsidP="00C90458">
      <w:pPr>
        <w:ind w:left="720"/>
        <w:rPr>
          <w:color w:val="A6A6A6" w:themeColor="background1" w:themeShade="A6"/>
        </w:rPr>
      </w:pPr>
    </w:p>
    <w:p w14:paraId="5D1045A7" w14:textId="77777777" w:rsidR="00C90458" w:rsidRPr="00C90458" w:rsidRDefault="00C90458" w:rsidP="0026229C">
      <w:pPr>
        <w:rPr>
          <w:color w:val="A6A6A6" w:themeColor="background1" w:themeShade="A6"/>
        </w:rPr>
      </w:pPr>
      <w:r w:rsidRPr="00C90458">
        <w:rPr>
          <w:b/>
          <w:color w:val="A6A6A6" w:themeColor="background1" w:themeShade="A6"/>
        </w:rPr>
        <w:t>Day of discussion:</w:t>
      </w:r>
    </w:p>
    <w:p w14:paraId="544CEE82" w14:textId="77777777" w:rsidR="00C90458" w:rsidRPr="00C90458" w:rsidRDefault="00C90458" w:rsidP="00C90458">
      <w:pPr>
        <w:ind w:left="720"/>
        <w:rPr>
          <w:color w:val="A6A6A6" w:themeColor="background1" w:themeShade="A6"/>
          <w:lang w:val="fr-FR"/>
        </w:rPr>
      </w:pPr>
      <w:r w:rsidRPr="00C90458">
        <w:rPr>
          <w:color w:val="A6A6A6" w:themeColor="background1" w:themeShade="A6"/>
          <w:lang w:val="fr-FR"/>
        </w:rPr>
        <w:t xml:space="preserve">Introduction: </w:t>
      </w:r>
      <w:r w:rsidRPr="00C90458">
        <w:rPr>
          <w:color w:val="A6A6A6" w:themeColor="background1" w:themeShade="A6"/>
          <w:lang w:val="fr-FR"/>
        </w:rPr>
        <w:tab/>
      </w:r>
      <w:r w:rsidRPr="00C90458">
        <w:rPr>
          <w:color w:val="A6A6A6" w:themeColor="background1" w:themeShade="A6"/>
          <w:lang w:val="fr-FR"/>
        </w:rPr>
        <w:tab/>
      </w:r>
      <w:r w:rsidRPr="00C90458">
        <w:rPr>
          <w:color w:val="A6A6A6" w:themeColor="background1" w:themeShade="A6"/>
          <w:lang w:val="fr-FR"/>
        </w:rPr>
        <w:tab/>
      </w:r>
      <w:r w:rsidRPr="00C90458">
        <w:rPr>
          <w:color w:val="A6A6A6" w:themeColor="background1" w:themeShade="A6"/>
          <w:lang w:val="fr-FR"/>
        </w:rPr>
        <w:tab/>
        <w:t>(10 minutes)</w:t>
      </w:r>
    </w:p>
    <w:p w14:paraId="2666DF13" w14:textId="77777777" w:rsidR="00C90458" w:rsidRPr="00C90458" w:rsidRDefault="00C90458" w:rsidP="00C90458">
      <w:pPr>
        <w:ind w:left="720"/>
        <w:rPr>
          <w:color w:val="A6A6A6" w:themeColor="background1" w:themeShade="A6"/>
          <w:lang w:val="fr-FR"/>
        </w:rPr>
      </w:pPr>
      <w:proofErr w:type="spellStart"/>
      <w:r w:rsidRPr="00C90458">
        <w:rPr>
          <w:color w:val="A6A6A6" w:themeColor="background1" w:themeShade="A6"/>
          <w:lang w:val="fr-FR"/>
        </w:rPr>
        <w:t>Engaged</w:t>
      </w:r>
      <w:proofErr w:type="spellEnd"/>
      <w:r w:rsidRPr="00C90458">
        <w:rPr>
          <w:color w:val="A6A6A6" w:themeColor="background1" w:themeShade="A6"/>
          <w:lang w:val="fr-FR"/>
        </w:rPr>
        <w:t xml:space="preserve"> Learning </w:t>
      </w:r>
      <w:proofErr w:type="spellStart"/>
      <w:r w:rsidRPr="00C90458">
        <w:rPr>
          <w:color w:val="A6A6A6" w:themeColor="background1" w:themeShade="A6"/>
          <w:lang w:val="fr-FR"/>
        </w:rPr>
        <w:t>Exercise</w:t>
      </w:r>
      <w:proofErr w:type="spellEnd"/>
      <w:r w:rsidRPr="00C90458">
        <w:rPr>
          <w:color w:val="A6A6A6" w:themeColor="background1" w:themeShade="A6"/>
          <w:lang w:val="fr-FR"/>
        </w:rPr>
        <w:t xml:space="preserve">: </w:t>
      </w:r>
      <w:r w:rsidRPr="00C90458">
        <w:rPr>
          <w:color w:val="A6A6A6" w:themeColor="background1" w:themeShade="A6"/>
          <w:lang w:val="fr-FR"/>
        </w:rPr>
        <w:tab/>
      </w:r>
      <w:r w:rsidRPr="00C90458">
        <w:rPr>
          <w:color w:val="A6A6A6" w:themeColor="background1" w:themeShade="A6"/>
          <w:lang w:val="fr-FR"/>
        </w:rPr>
        <w:tab/>
        <w:t>(60 minutes)</w:t>
      </w:r>
      <w:r w:rsidRPr="00C90458">
        <w:rPr>
          <w:color w:val="A6A6A6" w:themeColor="background1" w:themeShade="A6"/>
          <w:lang w:val="fr-FR"/>
        </w:rPr>
        <w:tab/>
      </w:r>
    </w:p>
    <w:p w14:paraId="53889A51" w14:textId="77777777" w:rsidR="00C90458" w:rsidRPr="00C90458" w:rsidRDefault="00C90458" w:rsidP="00C90458">
      <w:pPr>
        <w:ind w:left="720"/>
        <w:rPr>
          <w:color w:val="A6A6A6" w:themeColor="background1" w:themeShade="A6"/>
        </w:rPr>
      </w:pPr>
      <w:r w:rsidRPr="00C90458">
        <w:rPr>
          <w:color w:val="A6A6A6" w:themeColor="background1" w:themeShade="A6"/>
        </w:rPr>
        <w:t xml:space="preserve">Wrap-Up Points: </w:t>
      </w:r>
      <w:r w:rsidRPr="00C90458">
        <w:rPr>
          <w:color w:val="A6A6A6" w:themeColor="background1" w:themeShade="A6"/>
        </w:rPr>
        <w:tab/>
      </w:r>
      <w:r w:rsidRPr="00C90458">
        <w:rPr>
          <w:color w:val="A6A6A6" w:themeColor="background1" w:themeShade="A6"/>
        </w:rPr>
        <w:tab/>
      </w:r>
      <w:r w:rsidRPr="00C90458">
        <w:rPr>
          <w:color w:val="A6A6A6" w:themeColor="background1" w:themeShade="A6"/>
        </w:rPr>
        <w:tab/>
        <w:t>(5 minutes)</w:t>
      </w:r>
    </w:p>
    <w:p w14:paraId="3A94FB07" w14:textId="77777777" w:rsidR="00C90458" w:rsidRDefault="00C90458" w:rsidP="00C90458">
      <w:pPr>
        <w:ind w:left="720"/>
        <w:rPr>
          <w:color w:val="A6A6A6" w:themeColor="background1" w:themeShade="A6"/>
        </w:rPr>
      </w:pPr>
      <w:r w:rsidRPr="00C90458">
        <w:rPr>
          <w:color w:val="A6A6A6" w:themeColor="background1" w:themeShade="A6"/>
        </w:rPr>
        <w:t>Epilogue:</w:t>
      </w:r>
      <w:r w:rsidRPr="00C90458">
        <w:rPr>
          <w:color w:val="A6A6A6" w:themeColor="background1" w:themeShade="A6"/>
        </w:rPr>
        <w:tab/>
      </w:r>
      <w:r w:rsidRPr="00C90458">
        <w:rPr>
          <w:color w:val="A6A6A6" w:themeColor="background1" w:themeShade="A6"/>
        </w:rPr>
        <w:tab/>
      </w:r>
      <w:r w:rsidRPr="00C90458">
        <w:rPr>
          <w:color w:val="A6A6A6" w:themeColor="background1" w:themeShade="A6"/>
        </w:rPr>
        <w:tab/>
      </w:r>
      <w:r w:rsidRPr="00C90458">
        <w:rPr>
          <w:color w:val="A6A6A6" w:themeColor="background1" w:themeShade="A6"/>
        </w:rPr>
        <w:tab/>
        <w:t>(5 minutes)</w:t>
      </w:r>
    </w:p>
    <w:p w14:paraId="0F263AC8" w14:textId="32DEB0CD" w:rsidR="00B557F6" w:rsidRDefault="00B557F6" w:rsidP="00B557F6">
      <w:pPr>
        <w:rPr>
          <w:color w:val="A6A6A6" w:themeColor="background1" w:themeShade="A6"/>
        </w:rPr>
      </w:pPr>
    </w:p>
    <w:p w14:paraId="2431743A" w14:textId="722B36BA" w:rsidR="00B557F6" w:rsidRPr="00B557F6" w:rsidRDefault="00B557F6" w:rsidP="00B557F6">
      <w:pPr>
        <w:rPr>
          <w:rFonts w:eastAsia="Times New Roman"/>
          <w:color w:val="A6A6A6" w:themeColor="background1" w:themeShade="A6"/>
        </w:rPr>
      </w:pPr>
      <w:r>
        <w:rPr>
          <w:b/>
          <w:color w:val="A6A6A6" w:themeColor="background1" w:themeShade="A6"/>
        </w:rPr>
        <w:t xml:space="preserve">Podcast: </w:t>
      </w:r>
      <w:r>
        <w:rPr>
          <w:rFonts w:eastAsia="Times New Roman"/>
          <w:color w:val="A6A6A6" w:themeColor="background1" w:themeShade="A6"/>
        </w:rPr>
        <w:t>Additionally, explain how the podcast relates to the case narrative—does it further unpack the issue, critique a dominant narrative, add further information or theory, or something else?</w:t>
      </w:r>
    </w:p>
    <w:p w14:paraId="689654E8" w14:textId="77777777" w:rsidR="00C1707B" w:rsidRPr="00693CCB" w:rsidRDefault="00C1707B" w:rsidP="00C1707B">
      <w:pPr>
        <w:pStyle w:val="Normal1"/>
      </w:pPr>
    </w:p>
    <w:p w14:paraId="28A67931" w14:textId="77777777" w:rsidR="00AE6C08" w:rsidRDefault="00AE33E5" w:rsidP="00CF796F">
      <w:pPr>
        <w:rPr>
          <w:rFonts w:eastAsia="Times New Roman"/>
          <w:b/>
          <w:color w:val="auto"/>
        </w:rPr>
      </w:pPr>
      <w:r>
        <w:rPr>
          <w:rFonts w:eastAsia="Times New Roman"/>
          <w:b/>
          <w:color w:val="auto"/>
        </w:rPr>
        <w:t>Directions for</w:t>
      </w:r>
      <w:r w:rsidR="0026229C">
        <w:rPr>
          <w:rFonts w:eastAsia="Times New Roman"/>
          <w:b/>
          <w:color w:val="auto"/>
        </w:rPr>
        <w:t xml:space="preserve"> Engaged Learning Exercise</w:t>
      </w:r>
    </w:p>
    <w:p w14:paraId="201A11F8" w14:textId="77777777" w:rsidR="00A74EAC" w:rsidRDefault="00A74EAC" w:rsidP="00A74EAC">
      <w:pPr>
        <w:rPr>
          <w:rFonts w:eastAsia="Times New Roman"/>
          <w:color w:val="A6A6A6" w:themeColor="background1" w:themeShade="A6"/>
        </w:rPr>
      </w:pPr>
      <w:r w:rsidRPr="00A74EAC">
        <w:rPr>
          <w:rFonts w:eastAsia="Times New Roman"/>
          <w:color w:val="A6A6A6" w:themeColor="background1" w:themeShade="A6"/>
        </w:rPr>
        <w:t xml:space="preserve">Quantitative Exercise 1 has five components.  (1) Construct the </w:t>
      </w:r>
      <w:proofErr w:type="spellStart"/>
      <w:r w:rsidRPr="00A74EAC">
        <w:rPr>
          <w:rFonts w:eastAsia="Times New Roman"/>
          <w:color w:val="A6A6A6" w:themeColor="background1" w:themeShade="A6"/>
        </w:rPr>
        <w:t>Nazarian</w:t>
      </w:r>
      <w:proofErr w:type="spellEnd"/>
      <w:r w:rsidRPr="00A74EAC">
        <w:rPr>
          <w:rFonts w:eastAsia="Times New Roman"/>
          <w:color w:val="A6A6A6" w:themeColor="background1" w:themeShade="A6"/>
        </w:rPr>
        <w:t xml:space="preserve"> electricity demand curve from a willingness-to-pay table.  (2) Construct your own electricity demand curve from your willingness-to-pay table.  (3) Develop an algebraic expression of the demand curve using the equation for a line.  (4) Compute the quantity demanded at various prices.  (5) Graph the demand curve and price line; show consumer surplus and consumer expenditure on the graph; and compute these quantitatively.</w:t>
      </w:r>
    </w:p>
    <w:p w14:paraId="314861DB" w14:textId="77777777" w:rsidR="00A74EAC" w:rsidRPr="00A74EAC" w:rsidRDefault="00A74EAC" w:rsidP="00A74EAC">
      <w:pPr>
        <w:rPr>
          <w:rFonts w:eastAsia="Times New Roman"/>
          <w:color w:val="A6A6A6" w:themeColor="background1" w:themeShade="A6"/>
        </w:rPr>
      </w:pPr>
    </w:p>
    <w:p w14:paraId="233020E6" w14:textId="77777777" w:rsidR="00A74EAC" w:rsidRDefault="00A74EAC" w:rsidP="00A74EAC">
      <w:pPr>
        <w:rPr>
          <w:rFonts w:eastAsia="Times New Roman"/>
          <w:color w:val="A6A6A6" w:themeColor="background1" w:themeShade="A6"/>
        </w:rPr>
      </w:pPr>
      <w:r w:rsidRPr="00A74EAC">
        <w:rPr>
          <w:rFonts w:eastAsia="Times New Roman"/>
          <w:color w:val="A6A6A6" w:themeColor="background1" w:themeShade="A6"/>
        </w:rPr>
        <w:t xml:space="preserve">Quantitative Exercise 2 has three components. (1) Based on demand schedules, construct aggregate (market) demand from individual demand curves and graph </w:t>
      </w:r>
      <w:proofErr w:type="spellStart"/>
      <w:r w:rsidRPr="00A74EAC">
        <w:rPr>
          <w:rFonts w:eastAsia="Times New Roman"/>
          <w:color w:val="A6A6A6" w:themeColor="background1" w:themeShade="A6"/>
        </w:rPr>
        <w:t>Nazarian’s</w:t>
      </w:r>
      <w:proofErr w:type="spellEnd"/>
      <w:r w:rsidRPr="00A74EAC">
        <w:rPr>
          <w:rFonts w:eastAsia="Times New Roman"/>
          <w:color w:val="A6A6A6" w:themeColor="background1" w:themeShade="A6"/>
        </w:rPr>
        <w:t xml:space="preserve"> demand and aggregate demand. (2) Develop the idea of off-peak demand and peak demand and work with </w:t>
      </w:r>
      <w:r w:rsidRPr="00A74EAC">
        <w:rPr>
          <w:rFonts w:eastAsia="Times New Roman"/>
          <w:color w:val="A6A6A6" w:themeColor="background1" w:themeShade="A6"/>
        </w:rPr>
        <w:lastRenderedPageBreak/>
        <w:t>the algebra of these linear demands.  (3) Develop the idea of a fixed (inelastic) supply of electricity, and compute excess demand during the peak period and excess supply during the off-peak period given a single (flat-rate) electricity price.  Graph these notions given the numerical examples.</w:t>
      </w:r>
    </w:p>
    <w:p w14:paraId="40DED85D" w14:textId="77777777" w:rsidR="00A74EAC" w:rsidRPr="00A74EAC" w:rsidRDefault="00A74EAC" w:rsidP="00A74EAC">
      <w:pPr>
        <w:rPr>
          <w:rFonts w:eastAsia="Times New Roman"/>
          <w:color w:val="A6A6A6" w:themeColor="background1" w:themeShade="A6"/>
        </w:rPr>
      </w:pPr>
    </w:p>
    <w:p w14:paraId="086AEE2D" w14:textId="77777777" w:rsidR="00A74EAC" w:rsidRPr="00A74EAC" w:rsidRDefault="00A74EAC" w:rsidP="00A74EAC">
      <w:pPr>
        <w:rPr>
          <w:rFonts w:eastAsia="Times New Roman"/>
          <w:color w:val="A6A6A6" w:themeColor="background1" w:themeShade="A6"/>
        </w:rPr>
      </w:pPr>
      <w:r w:rsidRPr="00A74EAC">
        <w:rPr>
          <w:rFonts w:eastAsia="Times New Roman"/>
          <w:color w:val="A6A6A6" w:themeColor="background1" w:themeShade="A6"/>
        </w:rPr>
        <w:t>Quantitative Exercise 3 has two components.  (1) Instead of a flat-rate price, two time-of-</w:t>
      </w:r>
      <w:bookmarkStart w:id="0" w:name="_GoBack"/>
      <w:bookmarkEnd w:id="0"/>
      <w:r w:rsidRPr="00A74EAC">
        <w:rPr>
          <w:rFonts w:eastAsia="Times New Roman"/>
          <w:color w:val="A6A6A6" w:themeColor="background1" w:themeShade="A6"/>
        </w:rPr>
        <w:t>use prices are set, one for off-peak periods and a second, higher price of peak periods.  Analysis of this pricing structure is conducted using the demand curves from Exercise 2. (2) Compute the price elasticity of demand given the numbers, and consider the role it plays is demand-side management of electricity.</w:t>
      </w:r>
    </w:p>
    <w:p w14:paraId="765BA1FF" w14:textId="77777777" w:rsidR="0026229C" w:rsidRDefault="0026229C" w:rsidP="00CF796F">
      <w:pPr>
        <w:rPr>
          <w:rFonts w:eastAsia="Times New Roman"/>
          <w:b/>
          <w:color w:val="auto"/>
        </w:rPr>
      </w:pPr>
    </w:p>
    <w:p w14:paraId="65B9C621" w14:textId="77777777" w:rsidR="00A362F9" w:rsidRDefault="00CE2E1C" w:rsidP="00CF796F">
      <w:pPr>
        <w:rPr>
          <w:rFonts w:eastAsia="Times New Roman"/>
          <w:color w:val="auto"/>
        </w:rPr>
      </w:pPr>
      <w:r w:rsidRPr="004F1318">
        <w:rPr>
          <w:rFonts w:eastAsia="Times New Roman"/>
          <w:b/>
          <w:color w:val="auto"/>
        </w:rPr>
        <w:t>Assessment</w:t>
      </w:r>
      <w:r w:rsidR="00C1707B" w:rsidRPr="004F1318">
        <w:rPr>
          <w:rFonts w:eastAsia="Times New Roman"/>
          <w:color w:val="auto"/>
        </w:rPr>
        <w:t xml:space="preserve"> </w:t>
      </w:r>
    </w:p>
    <w:p w14:paraId="7EAB81CE" w14:textId="3E1E4BA0" w:rsidR="00A66A0A" w:rsidRDefault="00A362F9" w:rsidP="00CF796F">
      <w:pPr>
        <w:rPr>
          <w:rFonts w:eastAsia="Times New Roman"/>
          <w:color w:val="A6A6A6" w:themeColor="background1" w:themeShade="A6"/>
        </w:rPr>
      </w:pPr>
      <w:r>
        <w:rPr>
          <w:rFonts w:eastAsia="Times New Roman"/>
          <w:color w:val="A6A6A6" w:themeColor="background1" w:themeShade="A6"/>
        </w:rPr>
        <w:t xml:space="preserve">A </w:t>
      </w:r>
      <w:proofErr w:type="spellStart"/>
      <w:r>
        <w:rPr>
          <w:rFonts w:eastAsia="Times New Roman"/>
          <w:color w:val="A6A6A6" w:themeColor="background1" w:themeShade="A6"/>
        </w:rPr>
        <w:t>Qualtrics</w:t>
      </w:r>
      <w:proofErr w:type="spellEnd"/>
      <w:r>
        <w:rPr>
          <w:rFonts w:eastAsia="Times New Roman"/>
          <w:color w:val="A6A6A6" w:themeColor="background1" w:themeShade="A6"/>
        </w:rPr>
        <w:t xml:space="preserve"> survey can be used to…</w:t>
      </w:r>
      <w:proofErr w:type="gramStart"/>
      <w:r>
        <w:rPr>
          <w:rFonts w:eastAsia="Times New Roman"/>
          <w:color w:val="A6A6A6" w:themeColor="background1" w:themeShade="A6"/>
        </w:rPr>
        <w:t>…..</w:t>
      </w:r>
      <w:proofErr w:type="gramEnd"/>
    </w:p>
    <w:p w14:paraId="401F3E67" w14:textId="743C1574" w:rsidR="00A74EAC" w:rsidRPr="004F1318" w:rsidRDefault="00A74EAC" w:rsidP="00CF796F">
      <w:pPr>
        <w:rPr>
          <w:rFonts w:eastAsia="Times New Roman"/>
          <w:color w:val="auto"/>
        </w:rPr>
      </w:pPr>
      <w:r>
        <w:rPr>
          <w:rFonts w:eastAsia="Times New Roman"/>
          <w:color w:val="A6A6A6" w:themeColor="background1" w:themeShade="A6"/>
        </w:rPr>
        <w:t>Students will also be assessed by the engaged learning exercises</w:t>
      </w:r>
      <w:proofErr w:type="gramStart"/>
      <w:r>
        <w:rPr>
          <w:rFonts w:eastAsia="Times New Roman"/>
          <w:color w:val="A6A6A6" w:themeColor="background1" w:themeShade="A6"/>
        </w:rPr>
        <w:t>…..</w:t>
      </w:r>
      <w:proofErr w:type="gramEnd"/>
    </w:p>
    <w:sectPr w:rsidR="00A74EAC" w:rsidRPr="004F1318" w:rsidSect="00281A93">
      <w:headerReference w:type="default" r:id="rId7"/>
      <w:pgSz w:w="12240" w:h="15840"/>
      <w:pgMar w:top="864" w:right="1440" w:bottom="864"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5B593" w14:textId="77777777" w:rsidR="00981CC0" w:rsidRDefault="00981CC0">
      <w:pPr>
        <w:spacing w:line="240" w:lineRule="auto"/>
      </w:pPr>
      <w:r>
        <w:separator/>
      </w:r>
    </w:p>
  </w:endnote>
  <w:endnote w:type="continuationSeparator" w:id="0">
    <w:p w14:paraId="1D5C769A" w14:textId="77777777" w:rsidR="00981CC0" w:rsidRDefault="00981C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309BE" w14:textId="77777777" w:rsidR="00981CC0" w:rsidRDefault="00981CC0">
      <w:pPr>
        <w:spacing w:line="240" w:lineRule="auto"/>
      </w:pPr>
      <w:r>
        <w:separator/>
      </w:r>
    </w:p>
  </w:footnote>
  <w:footnote w:type="continuationSeparator" w:id="0">
    <w:p w14:paraId="663CB72F" w14:textId="77777777" w:rsidR="00981CC0" w:rsidRDefault="00981CC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4C0E" w14:textId="77777777" w:rsidR="0010533F" w:rsidRDefault="00981CC0">
    <w:pPr>
      <w:pStyle w:val="Normal1"/>
      <w:spacing w:before="720"/>
    </w:pPr>
    <w:hyperlink r:id="rId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2462"/>
    <w:multiLevelType w:val="hybridMultilevel"/>
    <w:tmpl w:val="19D4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C70E5"/>
    <w:multiLevelType w:val="hybridMultilevel"/>
    <w:tmpl w:val="C4FEE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A6971"/>
    <w:multiLevelType w:val="multilevel"/>
    <w:tmpl w:val="D7849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C66C24"/>
    <w:multiLevelType w:val="hybridMultilevel"/>
    <w:tmpl w:val="F5B0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06E5C"/>
    <w:multiLevelType w:val="hybridMultilevel"/>
    <w:tmpl w:val="258E45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431AB4"/>
    <w:multiLevelType w:val="multilevel"/>
    <w:tmpl w:val="A29CC646"/>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6">
    <w:nsid w:val="4FDC01F2"/>
    <w:multiLevelType w:val="hybridMultilevel"/>
    <w:tmpl w:val="835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51AC0"/>
    <w:multiLevelType w:val="multilevel"/>
    <w:tmpl w:val="A29CC6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nsid w:val="56997CFE"/>
    <w:multiLevelType w:val="multilevel"/>
    <w:tmpl w:val="DBCE1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854296C"/>
    <w:multiLevelType w:val="hybridMultilevel"/>
    <w:tmpl w:val="B2E8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915A80"/>
    <w:multiLevelType w:val="multilevel"/>
    <w:tmpl w:val="7806E0D2"/>
    <w:lvl w:ilvl="0">
      <w:start w:val="1"/>
      <w:numFmt w:val="bullet"/>
      <w:lvlText w:val="●"/>
      <w:lvlJc w:val="left"/>
      <w:pPr>
        <w:ind w:left="720" w:firstLine="3240"/>
      </w:pPr>
      <w:rPr>
        <w:rFonts w:ascii="Arial" w:eastAsia="Arial" w:hAnsi="Arial" w:cs="Arial"/>
        <w:u w:val="none"/>
      </w:rPr>
    </w:lvl>
    <w:lvl w:ilvl="1">
      <w:start w:val="1"/>
      <w:numFmt w:val="bullet"/>
      <w:lvlText w:val="○"/>
      <w:lvlJc w:val="left"/>
      <w:pPr>
        <w:ind w:left="1440" w:firstLine="6840"/>
      </w:pPr>
      <w:rPr>
        <w:rFonts w:ascii="Arial" w:eastAsia="Arial" w:hAnsi="Arial" w:cs="Arial"/>
        <w:u w:val="none"/>
      </w:rPr>
    </w:lvl>
    <w:lvl w:ilvl="2">
      <w:start w:val="1"/>
      <w:numFmt w:val="bullet"/>
      <w:lvlText w:val="■"/>
      <w:lvlJc w:val="left"/>
      <w:pPr>
        <w:ind w:left="2160" w:firstLine="10440"/>
      </w:pPr>
      <w:rPr>
        <w:rFonts w:ascii="Arial" w:eastAsia="Arial" w:hAnsi="Arial" w:cs="Arial"/>
        <w:u w:val="none"/>
      </w:rPr>
    </w:lvl>
    <w:lvl w:ilvl="3">
      <w:start w:val="1"/>
      <w:numFmt w:val="bullet"/>
      <w:lvlText w:val="●"/>
      <w:lvlJc w:val="left"/>
      <w:pPr>
        <w:ind w:left="2880" w:firstLine="14040"/>
      </w:pPr>
      <w:rPr>
        <w:rFonts w:ascii="Arial" w:eastAsia="Arial" w:hAnsi="Arial" w:cs="Arial"/>
        <w:u w:val="none"/>
      </w:rPr>
    </w:lvl>
    <w:lvl w:ilvl="4">
      <w:start w:val="1"/>
      <w:numFmt w:val="bullet"/>
      <w:lvlText w:val="○"/>
      <w:lvlJc w:val="left"/>
      <w:pPr>
        <w:ind w:left="3600" w:firstLine="17640"/>
      </w:pPr>
      <w:rPr>
        <w:rFonts w:ascii="Arial" w:eastAsia="Arial" w:hAnsi="Arial" w:cs="Arial"/>
        <w:u w:val="none"/>
      </w:rPr>
    </w:lvl>
    <w:lvl w:ilvl="5">
      <w:start w:val="1"/>
      <w:numFmt w:val="bullet"/>
      <w:lvlText w:val="■"/>
      <w:lvlJc w:val="left"/>
      <w:pPr>
        <w:ind w:left="4320" w:firstLine="21240"/>
      </w:pPr>
      <w:rPr>
        <w:rFonts w:ascii="Arial" w:eastAsia="Arial" w:hAnsi="Arial" w:cs="Arial"/>
        <w:u w:val="none"/>
      </w:rPr>
    </w:lvl>
    <w:lvl w:ilvl="6">
      <w:start w:val="1"/>
      <w:numFmt w:val="bullet"/>
      <w:lvlText w:val="●"/>
      <w:lvlJc w:val="left"/>
      <w:pPr>
        <w:ind w:left="5040" w:firstLine="24840"/>
      </w:pPr>
      <w:rPr>
        <w:rFonts w:ascii="Arial" w:eastAsia="Arial" w:hAnsi="Arial" w:cs="Arial"/>
        <w:u w:val="none"/>
      </w:rPr>
    </w:lvl>
    <w:lvl w:ilvl="7">
      <w:start w:val="1"/>
      <w:numFmt w:val="bullet"/>
      <w:lvlText w:val="○"/>
      <w:lvlJc w:val="left"/>
      <w:pPr>
        <w:ind w:left="5760" w:firstLine="28440"/>
      </w:pPr>
      <w:rPr>
        <w:rFonts w:ascii="Arial" w:eastAsia="Arial" w:hAnsi="Arial" w:cs="Arial"/>
        <w:u w:val="none"/>
      </w:rPr>
    </w:lvl>
    <w:lvl w:ilvl="8">
      <w:start w:val="1"/>
      <w:numFmt w:val="bullet"/>
      <w:lvlText w:val="■"/>
      <w:lvlJc w:val="left"/>
      <w:pPr>
        <w:ind w:left="6480" w:firstLine="32040"/>
      </w:pPr>
      <w:rPr>
        <w:rFonts w:ascii="Arial" w:eastAsia="Arial" w:hAnsi="Arial" w:cs="Arial"/>
        <w:u w:val="none"/>
      </w:rPr>
    </w:lvl>
  </w:abstractNum>
  <w:abstractNum w:abstractNumId="11">
    <w:nsid w:val="7B5C39B9"/>
    <w:multiLevelType w:val="hybridMultilevel"/>
    <w:tmpl w:val="5928EF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5"/>
  </w:num>
  <w:num w:numId="5">
    <w:abstractNumId w:val="0"/>
  </w:num>
  <w:num w:numId="6">
    <w:abstractNumId w:val="11"/>
  </w:num>
  <w:num w:numId="7">
    <w:abstractNumId w:val="9"/>
  </w:num>
  <w:num w:numId="8">
    <w:abstractNumId w:val="6"/>
  </w:num>
  <w:num w:numId="9">
    <w:abstractNumId w:val="1"/>
  </w:num>
  <w:num w:numId="10">
    <w:abstractNumId w:val="2"/>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A0A"/>
    <w:rsid w:val="000001DF"/>
    <w:rsid w:val="000F6A8C"/>
    <w:rsid w:val="0010533F"/>
    <w:rsid w:val="00132C47"/>
    <w:rsid w:val="0026229C"/>
    <w:rsid w:val="00281A93"/>
    <w:rsid w:val="002D717D"/>
    <w:rsid w:val="0033590E"/>
    <w:rsid w:val="003D51CB"/>
    <w:rsid w:val="0043094A"/>
    <w:rsid w:val="004562C3"/>
    <w:rsid w:val="00472190"/>
    <w:rsid w:val="004F1318"/>
    <w:rsid w:val="00506EA5"/>
    <w:rsid w:val="00534599"/>
    <w:rsid w:val="0055685E"/>
    <w:rsid w:val="00566D76"/>
    <w:rsid w:val="005A379C"/>
    <w:rsid w:val="00650F1D"/>
    <w:rsid w:val="006749D2"/>
    <w:rsid w:val="00693CCB"/>
    <w:rsid w:val="00722E8D"/>
    <w:rsid w:val="008574C1"/>
    <w:rsid w:val="00863546"/>
    <w:rsid w:val="00881D2A"/>
    <w:rsid w:val="008878BF"/>
    <w:rsid w:val="00981CC0"/>
    <w:rsid w:val="00A13B4F"/>
    <w:rsid w:val="00A16E7A"/>
    <w:rsid w:val="00A362F9"/>
    <w:rsid w:val="00A51BA9"/>
    <w:rsid w:val="00A66A0A"/>
    <w:rsid w:val="00A74EAC"/>
    <w:rsid w:val="00A75550"/>
    <w:rsid w:val="00AE33E5"/>
    <w:rsid w:val="00AE6C08"/>
    <w:rsid w:val="00B1444D"/>
    <w:rsid w:val="00B557F6"/>
    <w:rsid w:val="00C1707B"/>
    <w:rsid w:val="00C90458"/>
    <w:rsid w:val="00CE2E1C"/>
    <w:rsid w:val="00CF796F"/>
    <w:rsid w:val="00D06D63"/>
    <w:rsid w:val="00D450F4"/>
    <w:rsid w:val="00D66AB8"/>
    <w:rsid w:val="00E86741"/>
    <w:rsid w:val="00E86F25"/>
    <w:rsid w:val="00EA31FC"/>
    <w:rsid w:val="00EA7EA1"/>
    <w:rsid w:val="00ED3B48"/>
    <w:rsid w:val="00EF0BAA"/>
    <w:rsid w:val="00F121AB"/>
    <w:rsid w:val="00FC441E"/>
    <w:rsid w:val="00FE4F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B1D9F3"/>
  <w15:docId w15:val="{45060D06-43A5-423D-9179-92EF33B4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722E8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sz w:val="18"/>
      <w:szCs w:val="18"/>
    </w:rPr>
  </w:style>
  <w:style w:type="character" w:styleId="CommentReference">
    <w:name w:val="annotation reference"/>
    <w:basedOn w:val="DefaultParagraphFont"/>
    <w:uiPriority w:val="99"/>
    <w:semiHidden/>
    <w:unhideWhenUsed/>
    <w:rsid w:val="00722E8D"/>
    <w:rPr>
      <w:sz w:val="18"/>
      <w:szCs w:val="18"/>
    </w:rPr>
  </w:style>
  <w:style w:type="paragraph" w:styleId="CommentText">
    <w:name w:val="annotation text"/>
    <w:basedOn w:val="Normal"/>
    <w:link w:val="CommentTextChar"/>
    <w:uiPriority w:val="99"/>
    <w:semiHidden/>
    <w:unhideWhenUsed/>
    <w:rsid w:val="00722E8D"/>
    <w:pPr>
      <w:spacing w:line="240" w:lineRule="auto"/>
    </w:pPr>
    <w:rPr>
      <w:sz w:val="24"/>
      <w:szCs w:val="24"/>
    </w:rPr>
  </w:style>
  <w:style w:type="character" w:customStyle="1" w:styleId="CommentTextChar">
    <w:name w:val="Comment Text Char"/>
    <w:basedOn w:val="DefaultParagraphFont"/>
    <w:link w:val="CommentText"/>
    <w:uiPriority w:val="99"/>
    <w:semiHidden/>
    <w:rsid w:val="00722E8D"/>
    <w:rPr>
      <w:sz w:val="24"/>
      <w:szCs w:val="24"/>
    </w:rPr>
  </w:style>
  <w:style w:type="paragraph" w:styleId="CommentSubject">
    <w:name w:val="annotation subject"/>
    <w:basedOn w:val="CommentText"/>
    <w:next w:val="CommentText"/>
    <w:link w:val="CommentSubjectChar"/>
    <w:uiPriority w:val="99"/>
    <w:semiHidden/>
    <w:unhideWhenUsed/>
    <w:rsid w:val="00722E8D"/>
    <w:rPr>
      <w:b/>
      <w:bCs/>
      <w:sz w:val="20"/>
      <w:szCs w:val="20"/>
    </w:rPr>
  </w:style>
  <w:style w:type="character" w:customStyle="1" w:styleId="CommentSubjectChar">
    <w:name w:val="Comment Subject Char"/>
    <w:basedOn w:val="CommentTextChar"/>
    <w:link w:val="CommentSubject"/>
    <w:uiPriority w:val="99"/>
    <w:semiHidden/>
    <w:rsid w:val="00722E8D"/>
    <w:rPr>
      <w:b/>
      <w:bCs/>
      <w:sz w:val="20"/>
      <w:szCs w:val="20"/>
    </w:rPr>
  </w:style>
  <w:style w:type="paragraph" w:styleId="Revision">
    <w:name w:val="Revision"/>
    <w:hidden/>
    <w:uiPriority w:val="99"/>
    <w:semiHidden/>
    <w:rsid w:val="00A13B4F"/>
    <w:pPr>
      <w:spacing w:line="240" w:lineRule="auto"/>
    </w:pPr>
  </w:style>
  <w:style w:type="paragraph" w:styleId="ListParagraph">
    <w:name w:val="List Paragraph"/>
    <w:basedOn w:val="Normal"/>
    <w:uiPriority w:val="34"/>
    <w:qFormat/>
    <w:rsid w:val="0010533F"/>
    <w:pPr>
      <w:ind w:left="720"/>
      <w:contextualSpacing/>
    </w:pPr>
  </w:style>
  <w:style w:type="character" w:styleId="Hyperlink">
    <w:name w:val="Hyperlink"/>
    <w:basedOn w:val="DefaultParagraphFont"/>
    <w:uiPriority w:val="99"/>
    <w:semiHidden/>
    <w:unhideWhenUsed/>
    <w:rsid w:val="0010533F"/>
    <w:rPr>
      <w:color w:val="0000FF"/>
      <w:u w:val="single"/>
    </w:rPr>
  </w:style>
  <w:style w:type="character" w:customStyle="1" w:styleId="apple-converted-space">
    <w:name w:val="apple-converted-space"/>
    <w:basedOn w:val="DefaultParagraphFont"/>
    <w:rsid w:val="0010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3687">
      <w:bodyDiv w:val="1"/>
      <w:marLeft w:val="0"/>
      <w:marRight w:val="0"/>
      <w:marTop w:val="0"/>
      <w:marBottom w:val="0"/>
      <w:divBdr>
        <w:top w:val="none" w:sz="0" w:space="0" w:color="auto"/>
        <w:left w:val="none" w:sz="0" w:space="0" w:color="auto"/>
        <w:bottom w:val="none" w:sz="0" w:space="0" w:color="auto"/>
        <w:right w:val="none" w:sz="0" w:space="0" w:color="auto"/>
      </w:divBdr>
    </w:div>
    <w:div w:id="707754065">
      <w:bodyDiv w:val="1"/>
      <w:marLeft w:val="0"/>
      <w:marRight w:val="0"/>
      <w:marTop w:val="0"/>
      <w:marBottom w:val="0"/>
      <w:divBdr>
        <w:top w:val="none" w:sz="0" w:space="0" w:color="auto"/>
        <w:left w:val="none" w:sz="0" w:space="0" w:color="auto"/>
        <w:bottom w:val="none" w:sz="0" w:space="0" w:color="auto"/>
        <w:right w:val="none" w:sz="0" w:space="0" w:color="auto"/>
      </w:divBdr>
    </w:div>
    <w:div w:id="737484650">
      <w:bodyDiv w:val="1"/>
      <w:marLeft w:val="0"/>
      <w:marRight w:val="0"/>
      <w:marTop w:val="0"/>
      <w:marBottom w:val="0"/>
      <w:divBdr>
        <w:top w:val="none" w:sz="0" w:space="0" w:color="auto"/>
        <w:left w:val="none" w:sz="0" w:space="0" w:color="auto"/>
        <w:bottom w:val="none" w:sz="0" w:space="0" w:color="auto"/>
        <w:right w:val="none" w:sz="0" w:space="0" w:color="auto"/>
      </w:divBdr>
    </w:div>
    <w:div w:id="933585258">
      <w:bodyDiv w:val="1"/>
      <w:marLeft w:val="0"/>
      <w:marRight w:val="0"/>
      <w:marTop w:val="0"/>
      <w:marBottom w:val="0"/>
      <w:divBdr>
        <w:top w:val="none" w:sz="0" w:space="0" w:color="auto"/>
        <w:left w:val="none" w:sz="0" w:space="0" w:color="auto"/>
        <w:bottom w:val="none" w:sz="0" w:space="0" w:color="auto"/>
        <w:right w:val="none" w:sz="0" w:space="0" w:color="auto"/>
      </w:divBdr>
    </w:div>
    <w:div w:id="1559046348">
      <w:bodyDiv w:val="1"/>
      <w:marLeft w:val="0"/>
      <w:marRight w:val="0"/>
      <w:marTop w:val="0"/>
      <w:marBottom w:val="0"/>
      <w:divBdr>
        <w:top w:val="none" w:sz="0" w:space="0" w:color="auto"/>
        <w:left w:val="none" w:sz="0" w:space="0" w:color="auto"/>
        <w:bottom w:val="none" w:sz="0" w:space="0" w:color="auto"/>
        <w:right w:val="none" w:sz="0" w:space="0" w:color="auto"/>
      </w:divBdr>
    </w:div>
    <w:div w:id="1682319157">
      <w:bodyDiv w:val="1"/>
      <w:marLeft w:val="0"/>
      <w:marRight w:val="0"/>
      <w:marTop w:val="0"/>
      <w:marBottom w:val="0"/>
      <w:divBdr>
        <w:top w:val="none" w:sz="0" w:space="0" w:color="auto"/>
        <w:left w:val="none" w:sz="0" w:space="0" w:color="auto"/>
        <w:bottom w:val="none" w:sz="0" w:space="0" w:color="auto"/>
        <w:right w:val="none" w:sz="0" w:space="0" w:color="auto"/>
      </w:divBdr>
      <w:divsChild>
        <w:div w:id="1823738128">
          <w:marLeft w:val="0"/>
          <w:marRight w:val="0"/>
          <w:marTop w:val="0"/>
          <w:marBottom w:val="0"/>
          <w:divBdr>
            <w:top w:val="none" w:sz="0" w:space="0" w:color="auto"/>
            <w:left w:val="none" w:sz="0" w:space="0" w:color="auto"/>
            <w:bottom w:val="none" w:sz="0" w:space="0" w:color="auto"/>
            <w:right w:val="none" w:sz="0" w:space="0" w:color="auto"/>
          </w:divBdr>
        </w:div>
        <w:div w:id="1105658041">
          <w:marLeft w:val="0"/>
          <w:marRight w:val="0"/>
          <w:marTop w:val="0"/>
          <w:marBottom w:val="0"/>
          <w:divBdr>
            <w:top w:val="none" w:sz="0" w:space="0" w:color="auto"/>
            <w:left w:val="none" w:sz="0" w:space="0" w:color="auto"/>
            <w:bottom w:val="none" w:sz="0" w:space="0" w:color="auto"/>
            <w:right w:val="none" w:sz="0" w:space="0" w:color="auto"/>
          </w:divBdr>
        </w:div>
        <w:div w:id="994378104">
          <w:marLeft w:val="0"/>
          <w:marRight w:val="0"/>
          <w:marTop w:val="30"/>
          <w:marBottom w:val="0"/>
          <w:divBdr>
            <w:top w:val="none" w:sz="0" w:space="0" w:color="auto"/>
            <w:left w:val="none" w:sz="0" w:space="0" w:color="auto"/>
            <w:bottom w:val="none" w:sz="0" w:space="0" w:color="auto"/>
            <w:right w:val="none" w:sz="0" w:space="0" w:color="auto"/>
          </w:divBdr>
        </w:div>
      </w:divsChild>
    </w:div>
    <w:div w:id="1796368141">
      <w:bodyDiv w:val="1"/>
      <w:marLeft w:val="0"/>
      <w:marRight w:val="0"/>
      <w:marTop w:val="0"/>
      <w:marBottom w:val="0"/>
      <w:divBdr>
        <w:top w:val="none" w:sz="0" w:space="0" w:color="auto"/>
        <w:left w:val="none" w:sz="0" w:space="0" w:color="auto"/>
        <w:bottom w:val="none" w:sz="0" w:space="0" w:color="auto"/>
        <w:right w:val="none" w:sz="0" w:space="0" w:color="auto"/>
      </w:divBdr>
    </w:div>
    <w:div w:id="1884294631">
      <w:bodyDiv w:val="1"/>
      <w:marLeft w:val="0"/>
      <w:marRight w:val="0"/>
      <w:marTop w:val="0"/>
      <w:marBottom w:val="0"/>
      <w:divBdr>
        <w:top w:val="none" w:sz="0" w:space="0" w:color="auto"/>
        <w:left w:val="none" w:sz="0" w:space="0" w:color="auto"/>
        <w:bottom w:val="none" w:sz="0" w:space="0" w:color="auto"/>
        <w:right w:val="none" w:sz="0" w:space="0" w:color="auto"/>
      </w:divBdr>
    </w:div>
    <w:div w:id="2088763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s://unsplash.com/search/electricity?photo=vc7e5M6HX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801</Words>
  <Characters>4569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Gianna</dc:creator>
  <cp:lastModifiedBy>Microsoft Office User</cp:lastModifiedBy>
  <cp:revision>14</cp:revision>
  <cp:lastPrinted>2016-09-20T17:47:00Z</cp:lastPrinted>
  <dcterms:created xsi:type="dcterms:W3CDTF">2016-10-17T15:39:00Z</dcterms:created>
  <dcterms:modified xsi:type="dcterms:W3CDTF">2016-10-27T17:51:00Z</dcterms:modified>
</cp:coreProperties>
</file>