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7FC9EC86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| (206) 331-6498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Santa Barbara,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16544B19" w14:textId="75160541" w:rsidR="00650615" w:rsidRPr="000D6986" w:rsidRDefault="00650615" w:rsidP="00650615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 with 5+ years of urban forestry nonprofit management experience and a master’s degree in environmental data science</w:t>
      </w:r>
      <w:r w:rsidR="00A66416">
        <w:rPr>
          <w:rFonts w:asciiTheme="majorHAnsi" w:hAnsiTheme="majorHAnsi" w:cstheme="majorHAnsi"/>
          <w:sz w:val="22"/>
          <w:szCs w:val="22"/>
        </w:rPr>
        <w:t>.</w:t>
      </w:r>
    </w:p>
    <w:p w14:paraId="41F8F1BC" w14:textId="496F2ACD" w:rsidR="00A57B77" w:rsidRPr="007F074A" w:rsidRDefault="005D5B74" w:rsidP="007F074A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Experience using R</w:t>
      </w:r>
      <w:r w:rsidR="007F074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Python</w:t>
      </w:r>
      <w:r w:rsidR="007F074A">
        <w:rPr>
          <w:rFonts w:asciiTheme="majorHAnsi" w:hAnsiTheme="majorHAnsi" w:cstheme="majorHAnsi"/>
          <w:sz w:val="22"/>
          <w:szCs w:val="22"/>
        </w:rPr>
        <w:t xml:space="preserve">, and </w:t>
      </w:r>
      <w:r w:rsidR="007F074A"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 w:rsidR="007F074A">
        <w:rPr>
          <w:rFonts w:asciiTheme="majorHAnsi" w:hAnsiTheme="majorHAnsi" w:cstheme="majorHAnsi"/>
          <w:sz w:val="22"/>
          <w:szCs w:val="22"/>
        </w:rPr>
        <w:t>for projects to</w:t>
      </w:r>
      <w:r>
        <w:rPr>
          <w:rFonts w:asciiTheme="majorHAnsi" w:hAnsiTheme="majorHAnsi" w:cstheme="majorHAnsi"/>
          <w:sz w:val="22"/>
          <w:szCs w:val="22"/>
        </w:rPr>
        <w:t xml:space="preserve"> analyze satellite and </w:t>
      </w:r>
      <w:r w:rsidR="007F074A">
        <w:rPr>
          <w:rFonts w:asciiTheme="majorHAnsi" w:hAnsiTheme="majorHAnsi" w:cstheme="majorHAnsi"/>
          <w:sz w:val="22"/>
          <w:szCs w:val="22"/>
        </w:rPr>
        <w:t>spatial data to c</w:t>
      </w:r>
      <w:r w:rsidR="004426F2" w:rsidRPr="007F074A">
        <w:rPr>
          <w:rFonts w:asciiTheme="majorHAnsi" w:hAnsiTheme="majorHAnsi" w:cstheme="majorHAnsi"/>
          <w:sz w:val="22"/>
          <w:szCs w:val="22"/>
        </w:rPr>
        <w:t>alculate</w:t>
      </w:r>
      <w:r w:rsidR="00D06A7C" w:rsidRPr="007F074A">
        <w:rPr>
          <w:rFonts w:asciiTheme="majorHAnsi" w:hAnsiTheme="majorHAnsi" w:cstheme="majorHAnsi"/>
          <w:sz w:val="22"/>
          <w:szCs w:val="22"/>
        </w:rPr>
        <w:t xml:space="preserve"> tree canopy cover </w:t>
      </w:r>
      <w:r w:rsidR="007F074A"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="00FD1766"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430622B" w14:textId="7868196D" w:rsidR="009B3ED6" w:rsidRDefault="007703CF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Supervised</w:t>
      </w:r>
      <w:r w:rsidR="009B3ED6">
        <w:rPr>
          <w:rFonts w:asciiTheme="majorHAnsi" w:hAnsiTheme="majorHAnsi" w:cstheme="majorHAnsi"/>
          <w:sz w:val="22"/>
          <w:szCs w:val="22"/>
        </w:rPr>
        <w:t xml:space="preserve"> diverse teams to </w:t>
      </w:r>
      <w:r>
        <w:rPr>
          <w:rFonts w:asciiTheme="majorHAnsi" w:hAnsiTheme="majorHAnsi" w:cstheme="majorHAnsi"/>
          <w:sz w:val="22"/>
          <w:szCs w:val="22"/>
        </w:rPr>
        <w:t>implement successful multi-milion dollar</w:t>
      </w:r>
      <w:r w:rsidR="009B3ED6">
        <w:rPr>
          <w:rFonts w:asciiTheme="majorHAnsi" w:hAnsiTheme="majorHAnsi" w:cstheme="majorHAnsi"/>
          <w:sz w:val="22"/>
          <w:szCs w:val="22"/>
        </w:rPr>
        <w:t xml:space="preserve"> projects and programs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F598554" w14:textId="4E4817DC" w:rsidR="0030713C" w:rsidRDefault="001A53E9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="005E5B92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90650" w:rsidRPr="000D6986">
        <w:rPr>
          <w:rFonts w:asciiTheme="majorHAnsi" w:hAnsiTheme="majorHAnsi" w:cstheme="majorHAnsi"/>
          <w:sz w:val="22"/>
          <w:szCs w:val="22"/>
        </w:rPr>
        <w:t xml:space="preserve">strong collaborative relationship with </w:t>
      </w:r>
      <w:r w:rsidR="004D1FF4"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5F3595FD" w14:textId="3AC5D856" w:rsidR="00251CCB" w:rsidRPr="000D6986" w:rsidRDefault="00251CCB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429A9DC6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D07D24">
        <w:rPr>
          <w:rFonts w:asciiTheme="majorHAnsi" w:hAnsiTheme="majorHAnsi" w:cstheme="majorHAnsi"/>
          <w:sz w:val="22"/>
          <w:szCs w:val="22"/>
        </w:rPr>
        <w:t>1/22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D07D24">
        <w:rPr>
          <w:rFonts w:asciiTheme="majorHAnsi" w:hAnsiTheme="majorHAnsi" w:cstheme="majorHAnsi"/>
          <w:sz w:val="22"/>
          <w:szCs w:val="22"/>
        </w:rPr>
        <w:t>6/22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6FC2FD1F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 for Environmental Data Science;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Metadata Standards and Data Semantics; Analytical Workflows and Scientific Reproducibility</w:t>
      </w:r>
      <w:r w:rsidR="00C016B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96DAA" w:rsidRPr="000D6986">
        <w:rPr>
          <w:rFonts w:asciiTheme="majorHAnsi" w:hAnsiTheme="majorHAnsi" w:cstheme="majorHAnsi"/>
          <w:sz w:val="22"/>
          <w:szCs w:val="22"/>
        </w:rPr>
        <w:t>(completed by June 2022)</w:t>
      </w:r>
    </w:p>
    <w:p w14:paraId="22B59DD1" w14:textId="60F259F4" w:rsidR="00D13595" w:rsidRPr="000D6986" w:rsidRDefault="00E00656" w:rsidP="00AA70BD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Honors/Awards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Environmental Data Science Scholarship</w:t>
      </w:r>
    </w:p>
    <w:p w14:paraId="559E68D0" w14:textId="1D75C6D9" w:rsidR="00E272CA" w:rsidRPr="000D6986" w:rsidRDefault="0032663A" w:rsidP="005E5B92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310E7524" w14:textId="152D4D32" w:rsidR="00663C65" w:rsidRPr="000D6986" w:rsidRDefault="00663C65" w:rsidP="003B5DB1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5121B5D7" w14:textId="7693C07C" w:rsidR="005C7126" w:rsidRPr="000D6986" w:rsidRDefault="00E8288E" w:rsidP="00062ED5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Minor</w:t>
      </w:r>
      <w:r w:rsidR="00BD0F53" w:rsidRPr="008C4D83">
        <w:rPr>
          <w:rFonts w:asciiTheme="majorHAnsi" w:hAnsiTheme="majorHAnsi" w:cstheme="majorHAnsi"/>
          <w:sz w:val="22"/>
          <w:szCs w:val="22"/>
        </w:rPr>
        <w:t>:</w:t>
      </w:r>
      <w:r w:rsidR="00BD0F53" w:rsidRPr="000D6986">
        <w:rPr>
          <w:rFonts w:asciiTheme="majorHAnsi" w:hAnsiTheme="majorHAnsi" w:cstheme="majorHAnsi"/>
          <w:sz w:val="22"/>
          <w:szCs w:val="22"/>
        </w:rPr>
        <w:t xml:space="preserve"> Spanish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8B8A660" w14:textId="4144BD3F" w:rsidR="00FA1C1E" w:rsidRPr="000D6986" w:rsidRDefault="00024205" w:rsidP="001A1A7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195DC65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(Montana State University)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6FA75256" w:rsidR="009C0EE6" w:rsidRPr="000D6986" w:rsidRDefault="000D73AE" w:rsidP="00B9419D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(1/22–present)</w:t>
      </w:r>
    </w:p>
    <w:p w14:paraId="62443A9B" w14:textId="7061354E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 </w:t>
      </w:r>
      <w:r w:rsidR="00FA6BB9" w:rsidRPr="000D6986">
        <w:rPr>
          <w:rFonts w:asciiTheme="majorHAnsi" w:hAnsiTheme="majorHAnsi" w:cstheme="majorHAnsi"/>
          <w:sz w:val="22"/>
          <w:szCs w:val="22"/>
        </w:rPr>
        <w:t xml:space="preserve">to 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the </w:t>
      </w:r>
      <w:r w:rsidR="00FA6BB9" w:rsidRPr="000D6986">
        <w:rPr>
          <w:rFonts w:asciiTheme="majorHAnsi" w:hAnsiTheme="majorHAnsi" w:cstheme="majorHAnsi"/>
          <w:sz w:val="22"/>
          <w:szCs w:val="22"/>
        </w:rPr>
        <w:t>Arctic Data Center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 repository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the National Science Foundation’s Office of Polar Programs official data repository.</w:t>
      </w:r>
    </w:p>
    <w:p w14:paraId="1ED8D580" w14:textId="6B280079" w:rsidR="009C0EE6" w:rsidRPr="000D6986" w:rsidRDefault="00267B4C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Contractor –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City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Plants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9C0EE6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(08/21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495740">
        <w:rPr>
          <w:rFonts w:asciiTheme="majorHAnsi" w:hAnsiTheme="majorHAnsi" w:cstheme="majorHAnsi"/>
          <w:sz w:val="22"/>
          <w:szCs w:val="22"/>
        </w:rPr>
        <w:t>1/22</w:t>
      </w:r>
      <w:r w:rsidRPr="000D6986">
        <w:rPr>
          <w:rFonts w:asciiTheme="majorHAnsi" w:hAnsiTheme="majorHAnsi" w:cstheme="majorHAnsi"/>
          <w:sz w:val="22"/>
          <w:szCs w:val="22"/>
        </w:rPr>
        <w:t>)</w:t>
      </w:r>
    </w:p>
    <w:p w14:paraId="241E9699" w14:textId="35CFF6C8" w:rsidR="005577BA" w:rsidRPr="000D6986" w:rsidRDefault="004656F3" w:rsidP="00062ED5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 </w:t>
      </w:r>
      <w:r w:rsidR="00CC25B7" w:rsidRPr="000D6986">
        <w:rPr>
          <w:rFonts w:asciiTheme="majorHAnsi" w:hAnsiTheme="majorHAnsi" w:cstheme="majorHAnsi"/>
          <w:sz w:val="22"/>
          <w:szCs w:val="22"/>
        </w:rPr>
        <w:t xml:space="preserve">customized grant and partner area map for use in tree database system </w:t>
      </w:r>
      <w:r w:rsidRPr="000D6986">
        <w:rPr>
          <w:rFonts w:asciiTheme="majorHAnsi" w:hAnsiTheme="majorHAnsi" w:cstheme="majorHAnsi"/>
          <w:sz w:val="22"/>
          <w:szCs w:val="22"/>
        </w:rPr>
        <w:t>using spatial analysis in R.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Environmental Services Manager –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– 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–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16C90BE9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Baker – 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215F84C8" w14:textId="260CB3DA" w:rsidR="0053659C" w:rsidRPr="000D6986" w:rsidRDefault="0053659C" w:rsidP="0053659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College’s Green Bean Coffee Lounge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875B09D" w14:textId="01454D69" w:rsidR="0053659C" w:rsidRPr="000D6986" w:rsidRDefault="0053659C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Purchasing &amp; Inventory Manager </w:t>
      </w:r>
      <w:r w:rsidRPr="000D6986">
        <w:rPr>
          <w:rFonts w:asciiTheme="majorHAnsi" w:hAnsiTheme="majorHAnsi" w:cstheme="majorHAnsi"/>
          <w:sz w:val="22"/>
          <w:szCs w:val="22"/>
        </w:rPr>
        <w:t xml:space="preserve">(8/11–5/13)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Shift Supervisor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(1/10–5/11)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Barista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(10/09–12/09)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F53EB4">
      <w:pPr>
        <w:pStyle w:val="NoSpacing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1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10"/>
  </w:num>
  <w:num w:numId="10">
    <w:abstractNumId w:val="4"/>
  </w:num>
  <w:num w:numId="11">
    <w:abstractNumId w:val="12"/>
  </w:num>
  <w:num w:numId="12">
    <w:abstractNumId w:val="20"/>
  </w:num>
  <w:num w:numId="13">
    <w:abstractNumId w:val="18"/>
  </w:num>
  <w:num w:numId="14">
    <w:abstractNumId w:val="0"/>
  </w:num>
  <w:num w:numId="15">
    <w:abstractNumId w:val="22"/>
  </w:num>
  <w:num w:numId="16">
    <w:abstractNumId w:val="24"/>
  </w:num>
  <w:num w:numId="17">
    <w:abstractNumId w:val="13"/>
  </w:num>
  <w:num w:numId="18">
    <w:abstractNumId w:val="25"/>
  </w:num>
  <w:num w:numId="19">
    <w:abstractNumId w:val="11"/>
  </w:num>
  <w:num w:numId="20">
    <w:abstractNumId w:val="23"/>
  </w:num>
  <w:num w:numId="21">
    <w:abstractNumId w:val="7"/>
  </w:num>
  <w:num w:numId="22">
    <w:abstractNumId w:val="19"/>
  </w:num>
  <w:num w:numId="23">
    <w:abstractNumId w:val="15"/>
  </w:num>
  <w:num w:numId="24">
    <w:abstractNumId w:val="1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55E4"/>
    <w:rsid w:val="002859D7"/>
    <w:rsid w:val="00286504"/>
    <w:rsid w:val="002906CB"/>
    <w:rsid w:val="00290DC6"/>
    <w:rsid w:val="002A46EE"/>
    <w:rsid w:val="002A5719"/>
    <w:rsid w:val="002A721B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A0DC1"/>
    <w:rsid w:val="005B5117"/>
    <w:rsid w:val="005B54DB"/>
    <w:rsid w:val="005B5A95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81540"/>
    <w:rsid w:val="00C81DD6"/>
    <w:rsid w:val="00C8545D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191</cp:revision>
  <cp:lastPrinted>2021-12-07T16:50:00Z</cp:lastPrinted>
  <dcterms:created xsi:type="dcterms:W3CDTF">2022-01-22T00:16:00Z</dcterms:created>
  <dcterms:modified xsi:type="dcterms:W3CDTF">2022-01-24T06:45:00Z</dcterms:modified>
</cp:coreProperties>
</file>