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3D41B6">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3D41B6">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{{/IF_treatment}}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3D41B6">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167D6C00"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lastRenderedPageBreak/>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3D41B6">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3D41B6">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3D41B6">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50EA0B0"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First Payment</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0BAD3C74" w14:textId="77777777" w:rsidR="004A4C21"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372AE3E" w:rsidR="007A1599" w:rsidRPr="00F963B9" w:rsidRDefault="007A1599" w:rsidP="007A1599">
            <w:pPr>
              <w:pStyle w:val="NormalWeb"/>
              <w:spacing w:before="120" w:beforeAutospacing="0" w:after="120" w:afterAutospacing="0"/>
              <w:rPr>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5A36ECC1" w14:textId="5EE7F461" w:rsidR="002E6B3B" w:rsidRDefault="002E6B3B" w:rsidP="0035002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sidR="00BF1AA0">
              <w:rPr>
                <w:color w:val="000000" w:themeColor="text1"/>
                <w:sz w:val="20"/>
                <w:szCs w:val="20"/>
              </w:rPr>
              <w:t>t</w:t>
            </w:r>
            <w:proofErr w:type="spellEnd"/>
            <w:r w:rsidRPr="00F963B9">
              <w:rPr>
                <w:color w:val="000000" w:themeColor="text1"/>
                <w:sz w:val="20"/>
                <w:szCs w:val="20"/>
              </w:rPr>
              <w:t>}}</w:t>
            </w:r>
          </w:p>
          <w:p w14:paraId="5560A3CF" w14:textId="01935306" w:rsidR="007A1599" w:rsidRPr="00A73FC4"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3F3E17A9"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Recurring Payments</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77777777"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77B2B3D6" w14:textId="26BB29CD" w:rsidR="00555E35" w:rsidRPr="00F963B9" w:rsidRDefault="00003133" w:rsidP="00003133">
            <w:pPr>
              <w:pStyle w:val="NormalWeb"/>
              <w:spacing w:before="120" w:beforeAutospacing="0" w:after="120" w:afterAutospacing="0"/>
              <w:rPr>
                <w:b/>
                <w:bCs/>
                <w:color w:val="000000" w:themeColor="text1"/>
                <w:sz w:val="20"/>
                <w:szCs w:val="20"/>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tc>
        <w:tc>
          <w:tcPr>
            <w:tcW w:w="1804" w:type="dxa"/>
            <w:shd w:val="clear" w:color="auto" w:fill="auto"/>
          </w:tcPr>
          <w:p w14:paraId="073FF197" w14:textId="77777777"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1DAA0F35" w14:textId="67D94A75" w:rsidR="00555E35" w:rsidRPr="00F963B9"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w:t>
      </w:r>
      <w:r w:rsidRPr="00BA100F">
        <w:rPr>
          <w:sz w:val="20"/>
          <w:szCs w:val="20"/>
        </w:rPr>
        <w:lastRenderedPageBreak/>
        <w:t xml:space="preserve">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851C0E" w14:textId="7ACF4171" w:rsidR="006E1A14" w:rsidRDefault="006E1A14" w:rsidP="009649AB">
      <w:pPr>
        <w:tabs>
          <w:tab w:val="left" w:pos="7767"/>
        </w:tabs>
        <w:rPr>
          <w:sz w:val="20"/>
          <w:szCs w:val="20"/>
        </w:rPr>
      </w:pPr>
      <w:r w:rsidRPr="00BA100F">
        <w:rPr>
          <w:sz w:val="20"/>
          <w:szCs w:val="20"/>
        </w:rPr>
        <w:t>of Aetna, Inc.</w:t>
      </w:r>
    </w:p>
    <w:p w14:paraId="7C0E885A" w14:textId="5491F216" w:rsidR="00203734" w:rsidRDefault="00203734" w:rsidP="009649AB">
      <w:pPr>
        <w:tabs>
          <w:tab w:val="left" w:pos="7767"/>
        </w:tabs>
        <w:rPr>
          <w:sz w:val="20"/>
          <w:szCs w:val="20"/>
        </w:rPr>
      </w:pPr>
    </w:p>
    <w:p w14:paraId="7E010689" w14:textId="0864C017" w:rsidR="00203734" w:rsidRDefault="00203734" w:rsidP="009649AB">
      <w:pPr>
        <w:tabs>
          <w:tab w:val="left" w:pos="7767"/>
        </w:tabs>
        <w:rPr>
          <w:sz w:val="20"/>
          <w:szCs w:val="20"/>
        </w:rPr>
      </w:pPr>
    </w:p>
    <w:p w14:paraId="4DCFCED7" w14:textId="77777777" w:rsidR="007042C8" w:rsidRDefault="007042C8" w:rsidP="009649AB">
      <w:pPr>
        <w:tabs>
          <w:tab w:val="left" w:pos="7767"/>
        </w:tabs>
        <w:rPr>
          <w:sz w:val="20"/>
          <w:szCs w:val="20"/>
        </w:rPr>
      </w:pPr>
    </w:p>
    <w:p w14:paraId="220B0DF1" w14:textId="77777777" w:rsidR="00E710BE" w:rsidRDefault="00E710BE" w:rsidP="009649AB">
      <w:pPr>
        <w:tabs>
          <w:tab w:val="left" w:pos="7767"/>
        </w:tabs>
        <w:rPr>
          <w:b/>
          <w:bCs/>
          <w:sz w:val="20"/>
          <w:szCs w:val="20"/>
        </w:rPr>
      </w:pPr>
    </w:p>
    <w:p w14:paraId="3A09E4EA" w14:textId="780CE71C"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lastRenderedPageBreak/>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 xml:space="preserve">communicating a date that your membership will be </w:t>
      </w:r>
      <w:r w:rsidRPr="00BA100F">
        <w:rPr>
          <w:sz w:val="20"/>
          <w:szCs w:val="20"/>
        </w:rPr>
        <w:lastRenderedPageBreak/>
        <w:t>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6944C3B2" w14:textId="102ED95D" w:rsidR="00F963B9" w:rsidRDefault="00F963B9" w:rsidP="009649AB">
      <w:pPr>
        <w:tabs>
          <w:tab w:val="left" w:pos="7767"/>
        </w:tabs>
        <w:rPr>
          <w:sz w:val="20"/>
          <w:szCs w:val="20"/>
        </w:rPr>
      </w:pPr>
    </w:p>
    <w:p w14:paraId="7055709E" w14:textId="77777777" w:rsidR="00203734" w:rsidRPr="00BA100F" w:rsidRDefault="00203734"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4A4AECA6" w14:textId="77777777" w:rsidR="00FB3D7F" w:rsidRDefault="00BB5C32" w:rsidP="009649AB">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4D66391A" w14:textId="77777777" w:rsidR="00FB3D7F" w:rsidRDefault="00FB3D7F" w:rsidP="009649AB">
      <w:pPr>
        <w:tabs>
          <w:tab w:val="left" w:pos="7767"/>
        </w:tabs>
        <w:rPr>
          <w:sz w:val="20"/>
          <w:szCs w:val="20"/>
        </w:rPr>
      </w:pPr>
    </w:p>
    <w:p w14:paraId="57A0FA5F" w14:textId="376589DA" w:rsidR="0002026A" w:rsidRPr="00FB3D7F" w:rsidRDefault="0002026A" w:rsidP="009649AB">
      <w:pPr>
        <w:tabs>
          <w:tab w:val="left" w:pos="7767"/>
        </w:tabs>
        <w:rPr>
          <w:sz w:val="20"/>
          <w:szCs w:val="20"/>
        </w:rPr>
      </w:pPr>
      <w:r w:rsidRPr="00BA100F">
        <w:rPr>
          <w:b/>
          <w:bCs/>
          <w:sz w:val="20"/>
          <w:szCs w:val="20"/>
        </w:rPr>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r w:rsidRPr="00237A5C">
        <w:rPr>
          <w:sz w:val="20"/>
          <w:szCs w:val="20"/>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Level Two – OneShare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r w:rsidRPr="00237A5C">
        <w:rPr>
          <w:sz w:val="20"/>
          <w:szCs w:val="20"/>
        </w:rPr>
        <w:t>OneShare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r w:rsidRPr="00237A5C">
        <w:rPr>
          <w:sz w:val="20"/>
          <w:szCs w:val="20"/>
        </w:rPr>
        <w:t>OneShare Health sharing guidelines which may be applicable to your case. A panel of OneShare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Mailing Address: OneShare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75099023" w14:textId="208658CD" w:rsidR="00C26CAA" w:rsidRPr="00237A5C" w:rsidRDefault="00D67299" w:rsidP="00237A5C">
      <w:pPr>
        <w:tabs>
          <w:tab w:val="left" w:pos="7767"/>
        </w:tabs>
        <w:rPr>
          <w:sz w:val="20"/>
          <w:szCs w:val="20"/>
        </w:rPr>
      </w:pPr>
      <w:hyperlink r:id="rId8"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9" w:history="1">
        <w:r w:rsidR="00237A5C" w:rsidRPr="00051E1E">
          <w:rPr>
            <w:rStyle w:val="Hyperlink"/>
            <w:sz w:val="20"/>
            <w:szCs w:val="20"/>
          </w:rPr>
          <w:t>https://www.adr.org</w:t>
        </w:r>
      </w:hyperlink>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3FE600D" w:rsidR="00EF43CA" w:rsidRPr="00927EA1" w:rsidRDefault="00237A5C">
          <w:pPr>
            <w:rPr>
              <w:color w:val="FF0000"/>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DC3FBF">
        <w:tc>
          <w:tcPr>
            <w:tcW w:w="9350" w:type="dxa"/>
            <w:gridSpan w:val="2"/>
            <w:shd w:val="clear" w:color="auto" w:fill="D9E2F3" w:themeFill="accent1" w:themeFillTint="33"/>
          </w:tcPr>
          <w:p w14:paraId="22F90426" w14:textId="6F228DF7" w:rsidR="00DC3FBF" w:rsidRPr="00BA100F" w:rsidRDefault="00DC3FBF"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Signature</w:t>
            </w:r>
          </w:p>
        </w:tc>
      </w:tr>
      <w:tr w:rsidR="00DC3FBF" w:rsidRPr="00BC3034" w14:paraId="54C6212F" w14:textId="4620FB4C" w:rsidTr="00DC3FBF">
        <w:trPr>
          <w:trHeight w:val="637"/>
        </w:trPr>
        <w:tc>
          <w:tcPr>
            <w:tcW w:w="9350" w:type="dxa"/>
            <w:gridSpan w:val="2"/>
            <w:shd w:val="clear" w:color="auto" w:fill="auto"/>
          </w:tcPr>
          <w:p w14:paraId="0A05CC1B" w14:textId="77777777" w:rsidR="003D41B6" w:rsidRPr="003D41B6" w:rsidRDefault="003D41B6" w:rsidP="003D41B6">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DC3FBF">
            <w:pPr>
              <w:pStyle w:val="NormalWeb"/>
              <w:shd w:val="clear" w:color="auto" w:fill="FFFFFF"/>
              <w:jc w:val="center"/>
              <w:rPr>
                <w:sz w:val="20"/>
                <w:szCs w:val="20"/>
              </w:rPr>
            </w:pPr>
          </w:p>
        </w:tc>
      </w:tr>
      <w:tr w:rsidR="003D41B6" w:rsidRPr="003D41B6" w14:paraId="47D60E1E" w14:textId="3BA118C4" w:rsidTr="00DC3FBF">
        <w:trPr>
          <w:trHeight w:val="1060"/>
        </w:trPr>
        <w:tc>
          <w:tcPr>
            <w:tcW w:w="5009" w:type="dxa"/>
            <w:tcBorders>
              <w:bottom w:val="single" w:sz="4" w:space="0" w:color="auto"/>
            </w:tcBorders>
            <w:shd w:val="clear" w:color="auto" w:fill="auto"/>
          </w:tcPr>
          <w:p w14:paraId="400729F4" w14:textId="77777777" w:rsidR="00DC3FBF" w:rsidRPr="003D41B6" w:rsidRDefault="00DC3FBF" w:rsidP="00B51917">
            <w:pPr>
              <w:pStyle w:val="NormalWeb"/>
              <w:shd w:val="clear" w:color="auto" w:fill="FFFFFF"/>
              <w:jc w:val="center"/>
              <w:rPr>
                <w:color w:val="FFFFFF" w:themeColor="background1"/>
                <w:sz w:val="20"/>
                <w:szCs w:val="20"/>
              </w:rPr>
            </w:pPr>
          </w:p>
          <w:p w14:paraId="78E0C5C6" w14:textId="77777777" w:rsidR="00DC3FBF" w:rsidRPr="003D41B6" w:rsidRDefault="00DC3FBF" w:rsidP="00B51917">
            <w:pPr>
              <w:pStyle w:val="NormalWeb"/>
              <w:shd w:val="clear" w:color="auto" w:fill="FFFFFF"/>
              <w:jc w:val="center"/>
              <w:rPr>
                <w:color w:val="FFFFFF" w:themeColor="background1"/>
                <w:sz w:val="20"/>
                <w:szCs w:val="20"/>
              </w:rPr>
            </w:pPr>
          </w:p>
          <w:p w14:paraId="1F20C945" w14:textId="5873AB5D" w:rsidR="00DC3FBF" w:rsidRPr="003D41B6" w:rsidRDefault="00DC3FBF" w:rsidP="00B51917">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51917">
            <w:pPr>
              <w:pStyle w:val="NormalWeb"/>
              <w:shd w:val="clear" w:color="auto" w:fill="FFFFFF"/>
              <w:jc w:val="center"/>
              <w:rPr>
                <w:color w:val="FFFFFF" w:themeColor="background1"/>
                <w:sz w:val="20"/>
                <w:szCs w:val="20"/>
              </w:rPr>
            </w:pPr>
          </w:p>
          <w:p w14:paraId="225CA63E" w14:textId="77777777" w:rsidR="00DC3FBF" w:rsidRPr="003D41B6" w:rsidRDefault="00DC3FBF" w:rsidP="00DC3FBF">
            <w:pPr>
              <w:pStyle w:val="NormalWeb"/>
              <w:shd w:val="clear" w:color="auto" w:fill="FFFFFF"/>
              <w:jc w:val="center"/>
              <w:rPr>
                <w:color w:val="FFFFFF" w:themeColor="background1"/>
                <w:sz w:val="20"/>
                <w:szCs w:val="20"/>
              </w:rPr>
            </w:pPr>
          </w:p>
          <w:p w14:paraId="2E3FF624" w14:textId="01FE2C0E" w:rsidR="00DC3FBF" w:rsidRPr="003D41B6" w:rsidRDefault="00DC3FBF" w:rsidP="00DC3FBF">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A957E" w14:textId="77777777" w:rsidR="00D67299" w:rsidRDefault="00D67299" w:rsidP="00001A63">
      <w:r>
        <w:separator/>
      </w:r>
    </w:p>
  </w:endnote>
  <w:endnote w:type="continuationSeparator" w:id="0">
    <w:p w14:paraId="06CC96BF" w14:textId="77777777" w:rsidR="00D67299" w:rsidRDefault="00D67299"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CC926" w14:textId="77777777" w:rsidR="00D67299" w:rsidRDefault="00D67299" w:rsidP="00001A63">
      <w:r>
        <w:separator/>
      </w:r>
    </w:p>
  </w:footnote>
  <w:footnote w:type="continuationSeparator" w:id="0">
    <w:p w14:paraId="4B4F19B0" w14:textId="77777777" w:rsidR="00D67299" w:rsidRDefault="00D67299"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C50FA"/>
    <w:rsid w:val="000E27D1"/>
    <w:rsid w:val="000F03CC"/>
    <w:rsid w:val="000F4ED4"/>
    <w:rsid w:val="00104B9C"/>
    <w:rsid w:val="00121BA8"/>
    <w:rsid w:val="00125B80"/>
    <w:rsid w:val="00152923"/>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9A4"/>
    <w:rsid w:val="00387AF8"/>
    <w:rsid w:val="003B52CC"/>
    <w:rsid w:val="003B594E"/>
    <w:rsid w:val="003D41B6"/>
    <w:rsid w:val="003E6E8D"/>
    <w:rsid w:val="00417D98"/>
    <w:rsid w:val="00425339"/>
    <w:rsid w:val="00425957"/>
    <w:rsid w:val="0043266F"/>
    <w:rsid w:val="00437A76"/>
    <w:rsid w:val="0046176D"/>
    <w:rsid w:val="00464496"/>
    <w:rsid w:val="00484472"/>
    <w:rsid w:val="00484FAA"/>
    <w:rsid w:val="004921BB"/>
    <w:rsid w:val="004A4C21"/>
    <w:rsid w:val="004F477A"/>
    <w:rsid w:val="00550505"/>
    <w:rsid w:val="00553CA5"/>
    <w:rsid w:val="00555E35"/>
    <w:rsid w:val="00561D94"/>
    <w:rsid w:val="0056286E"/>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E1A14"/>
    <w:rsid w:val="0070088A"/>
    <w:rsid w:val="0070094E"/>
    <w:rsid w:val="00700E2F"/>
    <w:rsid w:val="00701716"/>
    <w:rsid w:val="00703277"/>
    <w:rsid w:val="007042C8"/>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7605"/>
    <w:rsid w:val="007E613B"/>
    <w:rsid w:val="00806E28"/>
    <w:rsid w:val="00811275"/>
    <w:rsid w:val="00831787"/>
    <w:rsid w:val="00841DFB"/>
    <w:rsid w:val="00875641"/>
    <w:rsid w:val="00875932"/>
    <w:rsid w:val="008818E2"/>
    <w:rsid w:val="008952DD"/>
    <w:rsid w:val="008D3D8E"/>
    <w:rsid w:val="008D3FEE"/>
    <w:rsid w:val="008E4A14"/>
    <w:rsid w:val="009044B8"/>
    <w:rsid w:val="00917A13"/>
    <w:rsid w:val="00927EA1"/>
    <w:rsid w:val="00930CA9"/>
    <w:rsid w:val="009314E6"/>
    <w:rsid w:val="009649AB"/>
    <w:rsid w:val="00973A91"/>
    <w:rsid w:val="009901C0"/>
    <w:rsid w:val="009B7375"/>
    <w:rsid w:val="009E6E05"/>
    <w:rsid w:val="009E70D7"/>
    <w:rsid w:val="00A04306"/>
    <w:rsid w:val="00A1359D"/>
    <w:rsid w:val="00A515F9"/>
    <w:rsid w:val="00A56596"/>
    <w:rsid w:val="00A73FC4"/>
    <w:rsid w:val="00A7520C"/>
    <w:rsid w:val="00A90F3E"/>
    <w:rsid w:val="00AA0E23"/>
    <w:rsid w:val="00AB7D4D"/>
    <w:rsid w:val="00AC2DF3"/>
    <w:rsid w:val="00AC40E4"/>
    <w:rsid w:val="00AC57AF"/>
    <w:rsid w:val="00B10340"/>
    <w:rsid w:val="00B1347F"/>
    <w:rsid w:val="00B14F07"/>
    <w:rsid w:val="00B30866"/>
    <w:rsid w:val="00B31186"/>
    <w:rsid w:val="00B420F5"/>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2696B"/>
    <w:rsid w:val="00C26CAA"/>
    <w:rsid w:val="00C354F5"/>
    <w:rsid w:val="00C50F61"/>
    <w:rsid w:val="00C85364"/>
    <w:rsid w:val="00C96D0D"/>
    <w:rsid w:val="00CA03C4"/>
    <w:rsid w:val="00CA7470"/>
    <w:rsid w:val="00CC6940"/>
    <w:rsid w:val="00CD546A"/>
    <w:rsid w:val="00CD7D36"/>
    <w:rsid w:val="00CE69CC"/>
    <w:rsid w:val="00CF075A"/>
    <w:rsid w:val="00D21DBA"/>
    <w:rsid w:val="00D4764C"/>
    <w:rsid w:val="00D50173"/>
    <w:rsid w:val="00D67299"/>
    <w:rsid w:val="00D917D7"/>
    <w:rsid w:val="00DA72E4"/>
    <w:rsid w:val="00DC3FBF"/>
    <w:rsid w:val="00DD4ABB"/>
    <w:rsid w:val="00DE1C9A"/>
    <w:rsid w:val="00DE6F5F"/>
    <w:rsid w:val="00DF70F1"/>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63B9"/>
    <w:rsid w:val="00FA1C2A"/>
    <w:rsid w:val="00FA7BBB"/>
    <w:rsid w:val="00FB03DD"/>
    <w:rsid w:val="00FB3D7F"/>
    <w:rsid w:val="00FB6B76"/>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ituteforchristianconciliatio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r.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4171</Words>
  <Characters>23776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5</cp:revision>
  <dcterms:created xsi:type="dcterms:W3CDTF">2020-06-19T16:18:00Z</dcterms:created>
  <dcterms:modified xsi:type="dcterms:W3CDTF">2020-06-19T16:22:00Z</dcterms:modified>
</cp:coreProperties>
</file>