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34CFD" w14:textId="77777777" w:rsidR="004C2AD7" w:rsidRDefault="004C2AD7" w:rsidP="00C812D2">
      <w:pPr>
        <w:pStyle w:val="Textoindependiente"/>
        <w:spacing w:line="360" w:lineRule="auto"/>
        <w:rPr>
          <w:sz w:val="20"/>
        </w:rPr>
      </w:pPr>
    </w:p>
    <w:p w14:paraId="500D6BE3" w14:textId="77777777" w:rsidR="00C812D2" w:rsidRPr="00946488" w:rsidRDefault="00C812D2" w:rsidP="00C812D2">
      <w:pPr>
        <w:spacing w:before="8" w:line="360" w:lineRule="auto"/>
        <w:ind w:right="4"/>
        <w:jc w:val="center"/>
        <w:rPr>
          <w:rFonts w:eastAsia="Times New Roman"/>
          <w:color w:val="000000" w:themeColor="text1"/>
          <w:szCs w:val="24"/>
        </w:rPr>
      </w:pPr>
      <w:r>
        <w:rPr>
          <w:rFonts w:ascii="Arial" w:hAnsi="Arial"/>
          <w:b/>
          <w:bCs/>
          <w:sz w:val="24"/>
        </w:rPr>
        <w:t>XXXIV EXPO - CIENCIA EMPRENDE U.A.G.R.M. 2026</w:t>
      </w:r>
    </w:p>
    <w:p w14:paraId="2DF0C579" w14:textId="77777777" w:rsidR="00C812D2" w:rsidRDefault="00C812D2" w:rsidP="00C812D2">
      <w:pPr>
        <w:spacing w:before="24" w:line="360" w:lineRule="auto"/>
        <w:ind w:right="4"/>
        <w:jc w:val="center"/>
        <w:rPr>
          <w:b/>
          <w:color w:val="000000" w:themeColor="text1"/>
          <w:spacing w:val="-6"/>
          <w:szCs w:val="24"/>
        </w:rPr>
      </w:pPr>
      <w:r>
        <w:rPr>
          <w:rFonts w:ascii="Arial" w:hAnsi="Arial"/>
          <w:b/>
          <w:color w:val="000000" w:themeColor="text1"/>
          <w:spacing w:val="-6"/>
          <w:sz w:val="24"/>
          <w:szCs w:val="24"/>
        </w:rPr>
        <w:t xml:space="preserve">“La investigación comienza en el aula y transforma la sociedad” </w:t>
      </w:r>
    </w:p>
    <w:p w14:paraId="08D47CEA" w14:textId="77777777" w:rsidR="00C812D2" w:rsidRPr="00946488" w:rsidRDefault="00C812D2" w:rsidP="00C812D2">
      <w:pPr>
        <w:spacing w:before="24" w:line="360" w:lineRule="auto"/>
        <w:ind w:right="4"/>
        <w:jc w:val="center"/>
        <w:rPr>
          <w:b/>
          <w:color w:val="000000" w:themeColor="text1"/>
          <w:szCs w:val="24"/>
        </w:rPr>
      </w:pPr>
    </w:p>
    <w:tbl>
      <w:tblPr>
        <w:tblStyle w:val="Tablaconcuadrcula"/>
        <w:tblW w:w="0" w:type="auto"/>
        <w:tblLook w:val="04A0" w:firstRow="1" w:lastRow="0" w:firstColumn="1" w:lastColumn="0" w:noHBand="0" w:noVBand="1"/>
      </w:tblPr>
      <w:tblGrid>
        <w:gridCol w:w="9350"/>
      </w:tblGrid>
      <w:tr w:rsidR="00C812D2" w:rsidRPr="00946488" w14:paraId="668E0439" w14:textId="77777777" w:rsidTr="00585992">
        <w:trPr>
          <w:trHeight w:val="461"/>
        </w:trPr>
        <w:tc>
          <w:tcPr>
            <w:tcW w:w="9350" w:type="dxa"/>
            <w:vAlign w:val="bottom"/>
          </w:tcPr>
          <w:p w14:paraId="5AC8DB32" w14:textId="77777777" w:rsidR="00C812D2" w:rsidRPr="00946488" w:rsidRDefault="00C812D2" w:rsidP="00585992">
            <w:pPr>
              <w:ind w:right="4"/>
              <w:jc w:val="center"/>
              <w:rPr>
                <w:rFonts w:eastAsia="Calibri"/>
                <w:color w:val="000000" w:themeColor="text1"/>
                <w:szCs w:val="24"/>
                <w:lang w:eastAsia="en-US"/>
              </w:rPr>
            </w:pPr>
            <w:r w:rsidRPr="00946488">
              <w:rPr>
                <w:rFonts w:eastAsia="Calibri"/>
                <w:b/>
                <w:color w:val="000000" w:themeColor="text1"/>
                <w:szCs w:val="24"/>
                <w:lang w:eastAsia="en-US"/>
              </w:rPr>
              <w:t>F</w:t>
            </w:r>
            <w:r w:rsidRPr="00946488">
              <w:rPr>
                <w:rFonts w:eastAsia="Calibri"/>
                <w:b/>
                <w:color w:val="000000" w:themeColor="text1"/>
                <w:spacing w:val="-2"/>
                <w:szCs w:val="24"/>
                <w:lang w:eastAsia="en-US"/>
              </w:rPr>
              <w:t>OR</w:t>
            </w:r>
            <w:r w:rsidRPr="00946488">
              <w:rPr>
                <w:rFonts w:eastAsia="Calibri"/>
                <w:b/>
                <w:color w:val="000000" w:themeColor="text1"/>
                <w:szCs w:val="24"/>
                <w:lang w:eastAsia="en-US"/>
              </w:rPr>
              <w:t>M</w:t>
            </w:r>
            <w:r w:rsidRPr="00946488">
              <w:rPr>
                <w:rFonts w:eastAsia="Calibri"/>
                <w:b/>
                <w:color w:val="000000" w:themeColor="text1"/>
                <w:spacing w:val="-3"/>
                <w:szCs w:val="24"/>
                <w:lang w:eastAsia="en-US"/>
              </w:rPr>
              <w:t>A</w:t>
            </w:r>
            <w:r w:rsidRPr="00946488">
              <w:rPr>
                <w:rFonts w:eastAsia="Calibri"/>
                <w:b/>
                <w:color w:val="000000" w:themeColor="text1"/>
                <w:spacing w:val="1"/>
                <w:szCs w:val="24"/>
                <w:lang w:eastAsia="en-US"/>
              </w:rPr>
              <w:t>T</w:t>
            </w:r>
            <w:r w:rsidRPr="00946488">
              <w:rPr>
                <w:rFonts w:eastAsia="Calibri"/>
                <w:b/>
                <w:color w:val="000000" w:themeColor="text1"/>
                <w:szCs w:val="24"/>
                <w:lang w:eastAsia="en-US"/>
              </w:rPr>
              <w:t>O</w:t>
            </w:r>
            <w:r w:rsidRPr="00946488">
              <w:rPr>
                <w:rFonts w:eastAsia="Calibri"/>
                <w:b/>
                <w:color w:val="000000" w:themeColor="text1"/>
                <w:spacing w:val="1"/>
                <w:szCs w:val="24"/>
                <w:lang w:eastAsia="en-US"/>
              </w:rPr>
              <w:t xml:space="preserve"> I</w:t>
            </w:r>
            <w:r w:rsidRPr="00946488">
              <w:rPr>
                <w:rFonts w:eastAsia="Calibri"/>
                <w:b/>
                <w:color w:val="000000" w:themeColor="text1"/>
                <w:szCs w:val="24"/>
                <w:lang w:eastAsia="en-US"/>
              </w:rPr>
              <w:t>N</w:t>
            </w:r>
            <w:r w:rsidRPr="00946488">
              <w:rPr>
                <w:rFonts w:eastAsia="Calibri"/>
                <w:b/>
                <w:color w:val="000000" w:themeColor="text1"/>
                <w:spacing w:val="-1"/>
                <w:szCs w:val="24"/>
                <w:lang w:eastAsia="en-US"/>
              </w:rPr>
              <w:t>F</w:t>
            </w:r>
            <w:r w:rsidRPr="00946488">
              <w:rPr>
                <w:rFonts w:eastAsia="Calibri"/>
                <w:b/>
                <w:color w:val="000000" w:themeColor="text1"/>
                <w:spacing w:val="2"/>
                <w:szCs w:val="24"/>
                <w:lang w:eastAsia="en-US"/>
              </w:rPr>
              <w:t>O</w:t>
            </w:r>
            <w:r w:rsidRPr="00946488">
              <w:rPr>
                <w:rFonts w:eastAsia="Calibri"/>
                <w:b/>
                <w:color w:val="000000" w:themeColor="text1"/>
                <w:spacing w:val="-2"/>
                <w:szCs w:val="24"/>
                <w:lang w:eastAsia="en-US"/>
              </w:rPr>
              <w:t>R</w:t>
            </w:r>
            <w:r w:rsidRPr="00946488">
              <w:rPr>
                <w:rFonts w:eastAsia="Calibri"/>
                <w:b/>
                <w:color w:val="000000" w:themeColor="text1"/>
                <w:szCs w:val="24"/>
                <w:lang w:eastAsia="en-US"/>
              </w:rPr>
              <w:t>ME</w:t>
            </w:r>
            <w:r w:rsidRPr="00946488">
              <w:rPr>
                <w:rFonts w:eastAsia="Calibri"/>
                <w:b/>
                <w:color w:val="000000" w:themeColor="text1"/>
                <w:spacing w:val="1"/>
                <w:szCs w:val="24"/>
                <w:lang w:eastAsia="en-US"/>
              </w:rPr>
              <w:t xml:space="preserve"> T</w:t>
            </w:r>
            <w:r w:rsidRPr="00946488">
              <w:rPr>
                <w:rFonts w:eastAsia="Calibri"/>
                <w:b/>
                <w:color w:val="000000" w:themeColor="text1"/>
                <w:spacing w:val="-2"/>
                <w:szCs w:val="24"/>
                <w:lang w:eastAsia="en-US"/>
              </w:rPr>
              <w:t>RA</w:t>
            </w:r>
            <w:r w:rsidRPr="00946488">
              <w:rPr>
                <w:rFonts w:eastAsia="Calibri"/>
                <w:b/>
                <w:color w:val="000000" w:themeColor="text1"/>
                <w:spacing w:val="3"/>
                <w:szCs w:val="24"/>
                <w:lang w:eastAsia="en-US"/>
              </w:rPr>
              <w:t>B</w:t>
            </w:r>
            <w:r w:rsidRPr="00946488">
              <w:rPr>
                <w:rFonts w:eastAsia="Calibri"/>
                <w:b/>
                <w:color w:val="000000" w:themeColor="text1"/>
                <w:spacing w:val="-2"/>
                <w:szCs w:val="24"/>
                <w:lang w:eastAsia="en-US"/>
              </w:rPr>
              <w:t>A</w:t>
            </w:r>
            <w:r w:rsidRPr="00946488">
              <w:rPr>
                <w:rFonts w:eastAsia="Calibri"/>
                <w:b/>
                <w:color w:val="000000" w:themeColor="text1"/>
                <w:szCs w:val="24"/>
                <w:lang w:eastAsia="en-US"/>
              </w:rPr>
              <w:t xml:space="preserve">JO DE </w:t>
            </w:r>
            <w:r w:rsidRPr="00946488">
              <w:rPr>
                <w:rFonts w:eastAsia="Calibri"/>
                <w:b/>
                <w:color w:val="000000" w:themeColor="text1"/>
                <w:spacing w:val="5"/>
                <w:szCs w:val="24"/>
                <w:lang w:eastAsia="en-US"/>
              </w:rPr>
              <w:t>INVESTIGACIÓN</w:t>
            </w:r>
          </w:p>
        </w:tc>
      </w:tr>
    </w:tbl>
    <w:p w14:paraId="7144F098" w14:textId="77777777" w:rsidR="00C812D2" w:rsidRPr="00946488" w:rsidRDefault="00C812D2" w:rsidP="00C812D2">
      <w:pPr>
        <w:spacing w:line="360" w:lineRule="auto"/>
        <w:ind w:right="4"/>
        <w:rPr>
          <w:rFonts w:eastAsia="Times New Roman"/>
          <w:color w:val="000000" w:themeColor="text1"/>
          <w:szCs w:val="24"/>
        </w:rPr>
      </w:pPr>
    </w:p>
    <w:p w14:paraId="08D384AC" w14:textId="77777777" w:rsidR="004B546F" w:rsidRDefault="00C812D2" w:rsidP="004B546F">
      <w:pPr>
        <w:jc w:val="both"/>
        <w:rPr>
          <w:b/>
          <w:bCs/>
        </w:rPr>
      </w:pPr>
      <w:r w:rsidRPr="004B546F">
        <w:rPr>
          <w:rFonts w:ascii="Arial" w:hAnsi="Arial"/>
          <w:b/>
          <w:bCs/>
          <w:sz w:val="24"/>
        </w:rPr>
        <w:t>Título del trabajo</w:t>
      </w:r>
      <w:r w:rsidRPr="004B546F">
        <w:rPr>
          <w:rFonts w:ascii="Arial" w:hAnsi="Arial"/>
          <w:sz w:val="24"/>
        </w:rPr>
        <w:t xml:space="preserve">: </w:t>
      </w:r>
      <w:r w:rsidR="004B546F">
        <w:rPr>
          <w:b/>
          <w:bCs/>
        </w:rPr>
        <w:t>L</w:t>
      </w:r>
      <w:r w:rsidR="004B546F" w:rsidRPr="00AB3CEA">
        <w:rPr>
          <w:b/>
          <w:bCs/>
        </w:rPr>
        <w:t xml:space="preserve">as skills como </w:t>
      </w:r>
      <w:r w:rsidR="004B546F">
        <w:rPr>
          <w:b/>
          <w:bCs/>
        </w:rPr>
        <w:t xml:space="preserve">posible </w:t>
      </w:r>
      <w:r w:rsidR="004B546F" w:rsidRPr="00AB3CEA">
        <w:rPr>
          <w:b/>
          <w:bCs/>
        </w:rPr>
        <w:t>andamiaje para el diseño educativo con inteligencia artificial</w:t>
      </w:r>
      <w:r w:rsidR="004B546F">
        <w:rPr>
          <w:b/>
          <w:bCs/>
        </w:rPr>
        <w:t xml:space="preserve">: una experiencia de generación de cursos para Moodle. </w:t>
      </w:r>
    </w:p>
    <w:p w14:paraId="0068D316" w14:textId="77777777" w:rsidR="004B546F" w:rsidRDefault="004B546F" w:rsidP="004B546F">
      <w:pPr>
        <w:jc w:val="both"/>
        <w:rPr>
          <w:b/>
          <w:bCs/>
        </w:rPr>
      </w:pPr>
    </w:p>
    <w:p w14:paraId="0220C435" w14:textId="277E57C1" w:rsidR="00C812D2" w:rsidRPr="004B546F" w:rsidRDefault="00C812D2" w:rsidP="004B546F">
      <w:pPr>
        <w:widowControl/>
        <w:autoSpaceDE/>
        <w:autoSpaceDN/>
        <w:spacing w:before="25" w:line="360" w:lineRule="auto"/>
        <w:ind w:right="4"/>
        <w:contextualSpacing/>
        <w:rPr>
          <w:rFonts w:ascii="Arial" w:hAnsi="Arial" w:cs="Arial"/>
          <w:color w:val="000000" w:themeColor="text1"/>
          <w:sz w:val="24"/>
          <w:szCs w:val="24"/>
        </w:rPr>
      </w:pPr>
      <w:r w:rsidRPr="004B546F">
        <w:rPr>
          <w:rFonts w:ascii="Arial" w:hAnsi="Arial"/>
          <w:sz w:val="24"/>
        </w:rPr>
        <w:t>Categoría:</w:t>
      </w:r>
      <w:r w:rsidR="004B546F">
        <w:rPr>
          <w:rFonts w:ascii="Arial" w:hAnsi="Arial"/>
          <w:sz w:val="24"/>
        </w:rPr>
        <w:t xml:space="preserve"> </w:t>
      </w:r>
      <w:r w:rsidR="004B546F" w:rsidRPr="004B546F">
        <w:rPr>
          <w:rFonts w:ascii="Arial" w:hAnsi="Arial"/>
          <w:sz w:val="24"/>
        </w:rPr>
        <w:t>Concurso</w:t>
      </w:r>
    </w:p>
    <w:p w14:paraId="3E13DDAD" w14:textId="4D1C6A14" w:rsidR="00C812D2" w:rsidRPr="004B546F" w:rsidRDefault="00C812D2" w:rsidP="004B546F">
      <w:pPr>
        <w:widowControl/>
        <w:autoSpaceDE/>
        <w:autoSpaceDN/>
        <w:spacing w:line="360" w:lineRule="auto"/>
        <w:ind w:right="4"/>
        <w:contextualSpacing/>
        <w:rPr>
          <w:rFonts w:ascii="Arial" w:hAnsi="Arial" w:cs="Arial"/>
          <w:color w:val="000000" w:themeColor="text1"/>
          <w:sz w:val="24"/>
          <w:szCs w:val="24"/>
        </w:rPr>
      </w:pPr>
      <w:r w:rsidRPr="004B546F">
        <w:rPr>
          <w:rFonts w:ascii="Arial" w:hAnsi="Arial"/>
          <w:sz w:val="24"/>
        </w:rPr>
        <w:t xml:space="preserve">Área de conocimiento: </w:t>
      </w:r>
      <w:r w:rsidR="004B546F">
        <w:rPr>
          <w:rFonts w:ascii="Arial" w:hAnsi="Arial"/>
          <w:sz w:val="24"/>
        </w:rPr>
        <w:t>Ciencias sociales</w:t>
      </w:r>
    </w:p>
    <w:p w14:paraId="4380C7FF" w14:textId="4A1994CC" w:rsidR="004B546F" w:rsidRDefault="00C812D2" w:rsidP="004B546F">
      <w:pPr>
        <w:widowControl/>
        <w:autoSpaceDE/>
        <w:autoSpaceDN/>
        <w:spacing w:line="360" w:lineRule="auto"/>
        <w:ind w:right="4"/>
        <w:contextualSpacing/>
        <w:rPr>
          <w:rFonts w:ascii="Arial" w:hAnsi="Arial"/>
          <w:sz w:val="24"/>
        </w:rPr>
      </w:pPr>
      <w:r w:rsidRPr="004B546F">
        <w:rPr>
          <w:rFonts w:ascii="Arial" w:hAnsi="Arial"/>
          <w:sz w:val="24"/>
        </w:rPr>
        <w:t xml:space="preserve">Autor: </w:t>
      </w:r>
      <w:r w:rsidR="004B546F">
        <w:rPr>
          <w:rFonts w:ascii="Arial" w:hAnsi="Arial"/>
          <w:sz w:val="24"/>
        </w:rPr>
        <w:t>Carlos Bravo Reyes PhD</w:t>
      </w:r>
    </w:p>
    <w:p w14:paraId="1EE9F20A" w14:textId="0A8BC128" w:rsidR="00E870F0" w:rsidRDefault="00E870F0" w:rsidP="004B546F">
      <w:pPr>
        <w:widowControl/>
        <w:autoSpaceDE/>
        <w:autoSpaceDN/>
        <w:spacing w:line="360" w:lineRule="auto"/>
        <w:ind w:right="4"/>
        <w:contextualSpacing/>
        <w:rPr>
          <w:rFonts w:ascii="Arial" w:hAnsi="Arial"/>
          <w:sz w:val="24"/>
        </w:rPr>
      </w:pPr>
      <w:r>
        <w:rPr>
          <w:rFonts w:ascii="Arial" w:hAnsi="Arial"/>
          <w:sz w:val="24"/>
        </w:rPr>
        <w:t>Facultad de Humanidades.</w:t>
      </w:r>
    </w:p>
    <w:p w14:paraId="5122B4EE" w14:textId="332FA03A" w:rsidR="00C812D2" w:rsidRPr="004B546F" w:rsidRDefault="00C812D2" w:rsidP="004B546F">
      <w:pPr>
        <w:widowControl/>
        <w:autoSpaceDE/>
        <w:autoSpaceDN/>
        <w:spacing w:line="360" w:lineRule="auto"/>
        <w:ind w:right="4"/>
        <w:contextualSpacing/>
        <w:rPr>
          <w:rFonts w:ascii="Arial" w:hAnsi="Arial" w:cs="Arial"/>
          <w:color w:val="000000" w:themeColor="text1"/>
          <w:sz w:val="24"/>
          <w:szCs w:val="24"/>
        </w:rPr>
      </w:pPr>
      <w:r w:rsidRPr="004B546F">
        <w:rPr>
          <w:rFonts w:ascii="Arial" w:hAnsi="Arial"/>
          <w:sz w:val="24"/>
        </w:rPr>
        <w:t>Lugar y fecha:</w:t>
      </w:r>
      <w:r w:rsidR="004B546F">
        <w:rPr>
          <w:rFonts w:ascii="Arial" w:hAnsi="Arial"/>
          <w:sz w:val="24"/>
        </w:rPr>
        <w:t xml:space="preserve"> Santa Cruz, 20 de octubre del 2026</w:t>
      </w:r>
    </w:p>
    <w:p w14:paraId="3B83FF28" w14:textId="77777777" w:rsidR="00C812D2" w:rsidRPr="00946488" w:rsidRDefault="00C812D2" w:rsidP="00C812D2">
      <w:pPr>
        <w:spacing w:before="2" w:line="360" w:lineRule="auto"/>
        <w:ind w:right="4"/>
        <w:rPr>
          <w:rFonts w:eastAsia="Times New Roman"/>
          <w:color w:val="000000" w:themeColor="text1"/>
          <w:szCs w:val="24"/>
        </w:rPr>
      </w:pPr>
    </w:p>
    <w:p w14:paraId="7B208D08" w14:textId="10D3CA5F" w:rsidR="004B546F" w:rsidRDefault="004B546F">
      <w:pPr>
        <w:rPr>
          <w:rFonts w:ascii="Arial" w:hAnsi="Arial" w:cs="Arial"/>
          <w:sz w:val="24"/>
          <w:szCs w:val="24"/>
        </w:rPr>
      </w:pPr>
      <w:r>
        <w:rPr>
          <w:rFonts w:ascii="Arial" w:hAnsi="Arial" w:cs="Arial"/>
          <w:sz w:val="24"/>
          <w:szCs w:val="24"/>
        </w:rPr>
        <w:br w:type="page"/>
      </w:r>
    </w:p>
    <w:p w14:paraId="738173C2" w14:textId="77777777" w:rsidR="000C3AEA" w:rsidRDefault="00000000">
      <w:pPr>
        <w:pStyle w:val="Ttulo1"/>
        <w:keepNext/>
        <w:spacing w:before="240" w:after="120" w:line="360" w:lineRule="auto"/>
      </w:pPr>
      <w:r>
        <w:rPr>
          <w:rFonts w:ascii="Arial" w:hAnsi="Arial"/>
          <w:color w:val="000000"/>
          <w:sz w:val="24"/>
        </w:rPr>
        <w:lastRenderedPageBreak/>
        <w:t>Resumen</w:t>
      </w:r>
    </w:p>
    <w:p w14:paraId="4842DC73" w14:textId="36BD2226" w:rsidR="000C3AEA" w:rsidRDefault="00000000">
      <w:pPr>
        <w:spacing w:after="120" w:line="360" w:lineRule="auto"/>
        <w:ind w:firstLine="720"/>
      </w:pPr>
      <w:r>
        <w:rPr>
          <w:rFonts w:ascii="Arial" w:hAnsi="Arial"/>
          <w:color w:val="000000"/>
          <w:sz w:val="24"/>
        </w:rPr>
        <w:t>El estudio analiza en qué medida la skill “Diseñar cursos en Moodle” presenta características asociadas con el andamiaje digital durante el diseño educativo con inteligencia artificial generativa. Desde el enfoque histórico-cultural y los aportes sobre andamiaje, se desarrolló una investigación descriptiva y exploratoria con doce estudiantes de octavo semestre de la mención en Tecnología Educativa de la licenciatura en Ciencias de la Educación, de la Universidad Autónoma Gabriel René Moreno. Aunque utilizaban inteligencia artificial en sus actividades académicas, esta fue su primera experiencia con una skill. La herramienta organizó el diseño de programas orientados al logro de una microcompetencia mediante quince acciones secuenciales, con posibilidades de aceptar, modificar o rechazar las propuestas generadas. Se aplicó una encuesta de quince preguntas, cuyos resultados se analizaron mediante estadística descriptiva y categorización temática. Nueve participantes valoraron favorablemente la posibilidad de modificar las propuestas, diez declararon haber revisado la coherencia entre microcompetencia, actividades y evaluación, y nueve trabajaron sin ayuda externa o con apoyo puntual. Las principales dificultades se relacionaron con la comprensión de algunas preguntas, el cumplimiento de las indicaciones del usuario y la adaptación del programa a Moodle. Los hallazgos sugieren que la skill presenta rasgos compatibles con el andamiaje digital, especialmente en la orientación progresiva, la toma de decisiones y la revisión del producto. Sin embargo, el tamaño del grupo y el predominio de datos autoinformados impiden atribuir mejoras en el aprendizaje o demostrar la retirada progresiva de apoyos y la transferencia de autonomía a nuevas tareas.</w:t>
      </w:r>
    </w:p>
    <w:p w14:paraId="48101519" w14:textId="77777777" w:rsidR="000C3AEA" w:rsidRDefault="00000000">
      <w:pPr>
        <w:spacing w:after="120" w:line="360" w:lineRule="auto"/>
        <w:ind w:firstLine="720"/>
      </w:pPr>
      <w:r>
        <w:rPr>
          <w:rFonts w:ascii="Arial" w:hAnsi="Arial"/>
          <w:color w:val="000000"/>
          <w:sz w:val="24"/>
        </w:rPr>
        <w:t>Palabras clave: skills; inteligencia artificial generativa; andamiaje digital; diseño educativo; Moodle.</w:t>
      </w:r>
    </w:p>
    <w:p w14:paraId="2C063A72" w14:textId="77777777" w:rsidR="000C3AEA" w:rsidRDefault="00000000">
      <w:pPr>
        <w:pStyle w:val="Ttulo1"/>
        <w:keepNext/>
        <w:spacing w:before="240" w:after="120" w:line="360" w:lineRule="auto"/>
      </w:pPr>
      <w:r>
        <w:rPr>
          <w:rFonts w:ascii="Arial" w:hAnsi="Arial"/>
          <w:color w:val="000000"/>
          <w:sz w:val="24"/>
        </w:rPr>
        <w:t>Abstract</w:t>
      </w:r>
    </w:p>
    <w:p w14:paraId="05FD0381" w14:textId="77777777" w:rsidR="000C3AEA" w:rsidRDefault="00000000">
      <w:pPr>
        <w:spacing w:after="120" w:line="360" w:lineRule="auto"/>
        <w:ind w:firstLine="720"/>
      </w:pPr>
      <w:r>
        <w:rPr>
          <w:rFonts w:ascii="Arial" w:hAnsi="Arial"/>
          <w:color w:val="000000"/>
          <w:sz w:val="24"/>
        </w:rPr>
        <w:t xml:space="preserve">This study examines the extent to which the “Designing Type B Courses in Moodle” skill exhibits characteristics associated with digital scaffolding during educational design supported by generative artificial intelligence. Drawing on the cultural-historical approach and contributions from scaffolding research, a descriptive and exploratory study was conducted with twelve eighth-semester students specializing </w:t>
      </w:r>
      <w:r>
        <w:rPr>
          <w:rFonts w:ascii="Arial" w:hAnsi="Arial"/>
          <w:color w:val="000000"/>
          <w:sz w:val="24"/>
        </w:rPr>
        <w:lastRenderedPageBreak/>
        <w:t>in Educational Technology within the bachelor’s degree program in Educational Sciences at Universidad Autónoma Gabriel René Moreno. Although they used artificial intelligence in their academic activities, this was their first experience with an AI skill. The tool structured the design of course plans aimed at developing a microcompetency through fifteen sequential actions, allowing users to accept, modify, or reject the generated proposals. A fifteen-question survey was administered, and its results were analyzed using descriptive statistics and thematic categorization. Nine participants positively assessed the opportunity to modify proposals, ten reported having reviewed the alignment among the microcompetency, activities, and assessment, and nine worked without external assistance or with occasional support. The main difficulties concerned understanding some questions, the tool’s adherence to user instructions, and adapting the course plan to Moodle. The findings suggest that the skill exhibits features consistent with digital scaffolding, particularly progressive guidance, decision-making, and review of the resulting product. However, the small group size and the predominance of self-reported data prevent attributing learning gains to the tool or demonstrating the gradual withdrawal of support and the transfer of autonomy to new tasks.</w:t>
      </w:r>
    </w:p>
    <w:p w14:paraId="567C2868" w14:textId="77777777" w:rsidR="000C3AEA" w:rsidRDefault="00000000">
      <w:pPr>
        <w:spacing w:after="120" w:line="360" w:lineRule="auto"/>
        <w:ind w:firstLine="720"/>
      </w:pPr>
      <w:r>
        <w:rPr>
          <w:rFonts w:ascii="Arial" w:hAnsi="Arial"/>
          <w:color w:val="000000"/>
          <w:sz w:val="24"/>
        </w:rPr>
        <w:t>Keywords: AI skills; generative artificial intelligence; digital scaffolding; educational design; Moodle.</w:t>
      </w:r>
    </w:p>
    <w:p w14:paraId="7426EEA0" w14:textId="77777777" w:rsidR="000C3AEA" w:rsidRDefault="00000000">
      <w:pPr>
        <w:pStyle w:val="Ttulo1"/>
        <w:keepNext/>
        <w:spacing w:before="240" w:after="120" w:line="360" w:lineRule="auto"/>
      </w:pPr>
      <w:r>
        <w:rPr>
          <w:rFonts w:ascii="Arial" w:hAnsi="Arial"/>
          <w:color w:val="000000"/>
          <w:sz w:val="24"/>
        </w:rPr>
        <w:t>Introducción</w:t>
      </w:r>
    </w:p>
    <w:p w14:paraId="149D6FF5" w14:textId="77777777" w:rsidR="000C3AEA" w:rsidRDefault="00000000">
      <w:pPr>
        <w:spacing w:after="120" w:line="360" w:lineRule="auto"/>
        <w:ind w:firstLine="720"/>
      </w:pPr>
      <w:r>
        <w:rPr>
          <w:rFonts w:ascii="Arial" w:hAnsi="Arial"/>
          <w:color w:val="000000"/>
          <w:sz w:val="24"/>
        </w:rPr>
        <w:t>La interacción con los sistemas de inteligencia artificial generativa, particularmente con los modelos de lenguaje, se ha desarrollado en buena medida mediante el empleo de prompts o instrucciones formuladas por los usuarios. Profesores y estudiantes hemos aprendido poco a poco a formular instrucciones más precisas para generar contenidos, proponer actividades, revisar textos y apoyar otras tareas académicas. En este contexto, la ingeniería de prompts (prompt engineering) ha adquirido relevancia como una competencia para interactuar con los modelos de lenguaje. La formulación de instrucciones claras, la aportación de contexto y la delimitación de las respuestas esperadas son factores que pueden contribuir a mejorar los resultados obtenidos</w:t>
      </w:r>
    </w:p>
    <w:p w14:paraId="76DCB8FB" w14:textId="77777777" w:rsidR="000C3AEA" w:rsidRDefault="00000000">
      <w:pPr>
        <w:spacing w:after="120" w:line="360" w:lineRule="auto"/>
        <w:ind w:firstLine="720"/>
      </w:pPr>
      <w:r>
        <w:rPr>
          <w:rFonts w:ascii="Arial" w:hAnsi="Arial"/>
          <w:color w:val="000000"/>
          <w:sz w:val="24"/>
        </w:rPr>
        <w:lastRenderedPageBreak/>
        <w:t>En nuestra experiencia docente, el uso frecuente de prompts nos llevó a desarrollar diversos generadores de instrucciones para apoyar las tareas académicas de estudiantes de distintas asignaturas de la licenciatura en Ciencias de la Educación. Estos recursos organizan la información mediante campos previamente definidos, lo que facilita la construcción de instrucciones sin necesidad de redactar desde cero prompts extensos. Sin embargo, estos generadores producen una instrucción que el estudiante debe trasladar posteriormente al sistema de inteligencia artificial. Aunque facilitan la formulación del prompt, no establecen por sí mismos un procedimiento de trabajo que acompañe las decisiones del estudiante durante toda la tarea.</w:t>
      </w:r>
    </w:p>
    <w:p w14:paraId="0CB1711E" w14:textId="77777777" w:rsidR="000C3AEA" w:rsidRDefault="00000000">
      <w:pPr>
        <w:spacing w:after="120" w:line="360" w:lineRule="auto"/>
        <w:ind w:firstLine="720"/>
      </w:pPr>
      <w:r>
        <w:rPr>
          <w:rFonts w:ascii="Arial" w:hAnsi="Arial"/>
          <w:color w:val="000000"/>
          <w:sz w:val="24"/>
        </w:rPr>
        <w:t>La incorporación reciente de las denominadas skills ofrece otra posibilidad para organizar la interacción con los sistemas de inteligencia artificial generativa. En la documentación de OpenAI, las skills se describen como recursos reutilizables que proporcionan instrucciones para desarrollar tareas específicas dentro de ChatGPT. Según su configuración, pueden integrar instrucciones organizadas en etapas, materiales de apoyo, ejemplos y criterios para revisar los resultados. Su carácter reutilizable permite mantener un procedimiento de trabajo sin necesidad de formular nuevamente todas las instrucciones en cada interacción</w:t>
      </w:r>
    </w:p>
    <w:p w14:paraId="0E4D5029" w14:textId="77777777" w:rsidR="000C3AEA" w:rsidRDefault="00000000">
      <w:pPr>
        <w:spacing w:after="120" w:line="360" w:lineRule="auto"/>
        <w:ind w:firstLine="720"/>
      </w:pPr>
      <w:r>
        <w:rPr>
          <w:rFonts w:ascii="Arial" w:hAnsi="Arial"/>
          <w:color w:val="000000"/>
          <w:sz w:val="24"/>
        </w:rPr>
        <w:t>Esta característica permite ampliar la interacción basada en prompts individuales mediante procedimientos previamente configurados, que pueden reutilizarse sin necesidad de reconstruir sus instrucciones. En el diseño de una skill pueden establecerse los datos que debe proporcionar el usuario, las etapas de trabajo, los criterios que deben considerarse y las condiciones que deben comprobarse antes de finalizar una tarea. Esto no significa que el prompt pierda importancia; por el contrario, puede quedar integrado dentro de una estructura de interacción más amplia, reutilizable y orientada por procedimientos previamente definidos.</w:t>
      </w:r>
    </w:p>
    <w:p w14:paraId="4708FA94" w14:textId="77777777" w:rsidR="000C3AEA" w:rsidRDefault="00000000">
      <w:pPr>
        <w:spacing w:after="120" w:line="360" w:lineRule="auto"/>
        <w:ind w:firstLine="720"/>
      </w:pPr>
      <w:r>
        <w:rPr>
          <w:rFonts w:ascii="Arial" w:hAnsi="Arial"/>
          <w:color w:val="000000"/>
          <w:sz w:val="24"/>
        </w:rPr>
        <w:t xml:space="preserve">Lo anterior cobra especial importancia en el proceso pedagógico. Una herramienta de inteligencia artificial puede generar en pocos segundos el programa completo de un curso; sin embargo, esa automatización no implica necesariamente aprendizaje ni desarrollo de capacidades de diseño. Una alternativa consiste en organizar la interacción de modo que el estudiante deba definir progresivamente los </w:t>
      </w:r>
      <w:r>
        <w:rPr>
          <w:rFonts w:ascii="Arial" w:hAnsi="Arial"/>
          <w:color w:val="000000"/>
          <w:sz w:val="24"/>
        </w:rPr>
        <w:lastRenderedPageBreak/>
        <w:t>participantes, la microcompetencia, los contenidos, las actividades, las evidencias y los criterios de evaluación, revisando y validando las propuestas producidas durante el proceso.</w:t>
      </w:r>
    </w:p>
    <w:p w14:paraId="3E81D6C2" w14:textId="77777777" w:rsidR="000C3AEA" w:rsidRDefault="00000000">
      <w:pPr>
        <w:spacing w:after="120" w:line="360" w:lineRule="auto"/>
        <w:ind w:firstLine="720"/>
      </w:pPr>
      <w:r>
        <w:rPr>
          <w:rFonts w:ascii="Arial" w:hAnsi="Arial"/>
          <w:color w:val="000000"/>
          <w:sz w:val="24"/>
        </w:rPr>
        <w:t>A partir de esta perspectiva se diseñó la skill “Diseñar cursos Tipo B en Moodle”, destinada a apoyar la elaboración de programas de cursos estructurados alrededor del desarrollo de una microcompetencia. La denominación “Tipo B” constituye una clasificación operativa utilizada para identificar esta modalidad de curso y no corresponde a una categoría establecida por Moodle. La microcompetencia debe ser precisa y alcanzable en un proceso formativo de hasta 40 horas de trabajo, según los requerimientos de la unidad de posgrado de la Facultad de Humanidades.</w:t>
      </w:r>
    </w:p>
    <w:p w14:paraId="1618A5E6" w14:textId="77777777" w:rsidR="000C3AEA" w:rsidRDefault="00000000">
      <w:pPr>
        <w:spacing w:after="120" w:line="360" w:lineRule="auto"/>
        <w:ind w:firstLine="720"/>
      </w:pPr>
      <w:r>
        <w:rPr>
          <w:rFonts w:ascii="Arial" w:hAnsi="Arial"/>
          <w:color w:val="000000"/>
          <w:sz w:val="24"/>
        </w:rPr>
        <w:t>La skill no fue concebida únicamente como un generador automático de programas. Su estructura conduce al usuario mediante una secuencia de preguntas y decisiones relacionadas con los diferentes componentes del diseño educativo. En cada etapa, el usuario proporciona información, analiza propuestas y puede aceptar, modificar o rechazar las alternativas generadas antes de continuar con el proceso.</w:t>
      </w:r>
    </w:p>
    <w:p w14:paraId="4AA11EBA" w14:textId="77777777" w:rsidR="000C3AEA" w:rsidRDefault="00000000">
      <w:pPr>
        <w:spacing w:after="120" w:line="360" w:lineRule="auto"/>
        <w:ind w:firstLine="720"/>
      </w:pPr>
      <w:r>
        <w:rPr>
          <w:rFonts w:ascii="Arial" w:hAnsi="Arial"/>
          <w:color w:val="000000"/>
          <w:sz w:val="24"/>
        </w:rPr>
        <w:t>En este contexto, la pregunta que orienta el estudio es: ¿en qué medida una skill destinada al diseño de cursos puede funcionar como forma de andamiaje digital durante el proceso de diseño educativo?</w:t>
      </w:r>
    </w:p>
    <w:p w14:paraId="2224ABED" w14:textId="77777777" w:rsidR="000C3AEA" w:rsidRDefault="00000000">
      <w:pPr>
        <w:spacing w:after="120" w:line="360" w:lineRule="auto"/>
        <w:ind w:firstLine="720"/>
      </w:pPr>
      <w:r>
        <w:rPr>
          <w:rFonts w:ascii="Arial" w:hAnsi="Arial"/>
          <w:color w:val="000000"/>
          <w:sz w:val="24"/>
        </w:rPr>
        <w:t>El objetivo de la investigación es analizar, a partir de la experiencia de sus usuarios, en qué medida una skill orientada al diseño de programas de cursos para Moodle presenta características asociadas con el andamiaje digital, particularmente en la orientación progresiva de la tarea, la toma de decisiones, la revisión del producto y la autonomía durante el proceso.</w:t>
      </w:r>
    </w:p>
    <w:p w14:paraId="73E45B37" w14:textId="77777777" w:rsidR="000C3AEA" w:rsidRDefault="00000000">
      <w:pPr>
        <w:spacing w:after="120" w:line="360" w:lineRule="auto"/>
        <w:ind w:firstLine="720"/>
      </w:pPr>
      <w:r>
        <w:rPr>
          <w:rFonts w:ascii="Arial" w:hAnsi="Arial"/>
          <w:color w:val="000000"/>
          <w:sz w:val="24"/>
        </w:rPr>
        <w:t>Se desarrolló un estudio descriptivo y exploratorio con doce estudiantes, mediante una encuesta y el análisis de frecuencias, porcentajes y respuestas abiertas. Los resultados muestran una valoración favorable de la modificación de propuestas y de la revisión de la coherencia del programa, junto con dificultades de comprensión y de adaptación a Moodle. El documento presenta el marco teórico, la metodología, los resultados y su análisis, las conclusiones y recomendaciones, y una propuesta de mejora de la herramienta.</w:t>
      </w:r>
    </w:p>
    <w:p w14:paraId="1A8C4F0F" w14:textId="77777777" w:rsidR="000C3AEA" w:rsidRDefault="00000000">
      <w:pPr>
        <w:pStyle w:val="Ttulo1"/>
        <w:keepNext/>
        <w:spacing w:before="240" w:after="120" w:line="360" w:lineRule="auto"/>
      </w:pPr>
      <w:r>
        <w:rPr>
          <w:rFonts w:ascii="Arial" w:hAnsi="Arial"/>
          <w:color w:val="000000"/>
          <w:sz w:val="24"/>
        </w:rPr>
        <w:lastRenderedPageBreak/>
        <w:t>Marco teórico</w:t>
      </w:r>
    </w:p>
    <w:p w14:paraId="13C1B284" w14:textId="77777777" w:rsidR="000C3AEA" w:rsidRDefault="00000000">
      <w:pPr>
        <w:spacing w:after="120" w:line="360" w:lineRule="auto"/>
        <w:ind w:firstLine="720"/>
      </w:pPr>
      <w:r>
        <w:rPr>
          <w:rFonts w:ascii="Arial" w:hAnsi="Arial"/>
          <w:color w:val="000000"/>
          <w:sz w:val="24"/>
        </w:rPr>
        <w:t>Desde una perspectiva educativa, la posibilidad de organizar procedimientos mediante una skill adquiere especial interés cuando la inteligencia artificial no se utiliza únicamente para generar productos terminados, sino también para orientar el desarrollo de una actividad. La mediación constituye un elemento central del enfoque histórico-cultural de Vygotsky (1978), según el cual la actividad humana y el aprendizaje están mediados por herramientas y sistemas de signos En este enfoque, la zona de desarrollo próximo expresa la distancia entre lo que una persona puede realizar de manera independiente y aquello que puede alcanzar con la orientación de alguien más experimentado o mediante la colaboración con otros Estos planteamientos permiten examinar el papel de los apoyos que intervienen en una actividad educativa, sin asumir que cualquier herramienta tecnológica cumple necesariamente una función de andamiaje.</w:t>
      </w:r>
    </w:p>
    <w:p w14:paraId="08EA310C" w14:textId="77777777" w:rsidR="000C3AEA" w:rsidRDefault="00000000">
      <w:pPr>
        <w:spacing w:after="120" w:line="360" w:lineRule="auto"/>
        <w:ind w:firstLine="720"/>
      </w:pPr>
      <w:r>
        <w:rPr>
          <w:rFonts w:ascii="Arial" w:hAnsi="Arial"/>
          <w:color w:val="000000"/>
          <w:sz w:val="24"/>
        </w:rPr>
        <w:t>En relación con estos planteamientos, la idea de andamiaje que da pie al título de este trabajo fue desarrollada por Wood, Bruner y Ross (1976) para describir formas de apoyo que permiten al estudiante realizar partes de una tarea que inicialmente exceden sus posibilidades de actuación independiente. Aunque el andamiaje y la zona de desarrollo próximo tienen desarrollos conceptuales distintos, ambos pueden relacionarse mediante la importancia atribuida a la ayuda durante el aprendizaje. Una característica relevante del andamiaje es que el apoyo debe ajustarse a las necesidades del estudiante y reducirse progresivamente conforme aumenta su capacidad de actuación autónoma. Estas características constituyen referentes para examinar posteriormente el funcionamiento de la skill objeto de este estudio.</w:t>
      </w:r>
    </w:p>
    <w:p w14:paraId="1B684A97" w14:textId="77777777" w:rsidR="000C3AEA" w:rsidRDefault="00000000">
      <w:pPr>
        <w:spacing w:after="120" w:line="360" w:lineRule="auto"/>
        <w:ind w:firstLine="720"/>
      </w:pPr>
      <w:r>
        <w:rPr>
          <w:rFonts w:ascii="Arial" w:hAnsi="Arial"/>
          <w:color w:val="000000"/>
          <w:sz w:val="24"/>
        </w:rPr>
        <w:t xml:space="preserve">Posteriormente, la investigación educativa ha examinado la aplicación del concepto de andamiaje a entornos mediados por tecnologías digitales, particularmente mediante los denominados andamiajes apoyados por computadora (computer-based scaffolding). En este campo, Belland et al. (2017) encontraron resultados positivos sobre el aprendizaje en un metaanálisis de investigaciones desarrolladas en educación STEM. Estos hallazgos permiten reconocer las posibilidades de los apoyos tecnológicos para la realización de tareas complejas, aunque no implican que cualquier herramienta </w:t>
      </w:r>
      <w:r>
        <w:rPr>
          <w:rFonts w:ascii="Arial" w:hAnsi="Arial"/>
          <w:color w:val="000000"/>
          <w:sz w:val="24"/>
        </w:rPr>
        <w:lastRenderedPageBreak/>
        <w:t>digital constituya, por sí misma, un andamiaje educativo</w:t>
      </w:r>
    </w:p>
    <w:p w14:paraId="0B02434C" w14:textId="77777777" w:rsidR="000C3AEA" w:rsidRDefault="00000000">
      <w:pPr>
        <w:spacing w:after="120" w:line="360" w:lineRule="auto"/>
        <w:ind w:firstLine="720"/>
      </w:pPr>
      <w:r>
        <w:rPr>
          <w:rFonts w:ascii="Arial" w:hAnsi="Arial"/>
          <w:color w:val="000000"/>
          <w:sz w:val="24"/>
        </w:rPr>
        <w:t>Estudios más recientes sobre andamiaje digital insisten igualmente en que este no debe confundirse con cualquier ayuda tecnológica: para entender propiamente el andamiaje es necesario considerar elementos como la adaptación a las necesidades del estudiante, la orientación durante la tarea y el desarrollo progresivo de la autonomía.</w:t>
      </w:r>
    </w:p>
    <w:p w14:paraId="70DC762D" w14:textId="77777777" w:rsidR="000C3AEA" w:rsidRDefault="00000000">
      <w:pPr>
        <w:spacing w:after="120" w:line="360" w:lineRule="auto"/>
        <w:ind w:firstLine="720"/>
      </w:pPr>
      <w:r>
        <w:rPr>
          <w:rFonts w:ascii="Arial" w:hAnsi="Arial"/>
          <w:color w:val="000000"/>
          <w:sz w:val="24"/>
        </w:rPr>
        <w:t>Desde esta perspectiva, una skill puede ser considerada inicialmente como una herramienta mediadora. Su posible condición de andamiaje digital dependerá de la manera en que esté diseñada y utilizada. No basta con que genere respuestas o reduzca el esfuerzo necesario para completar una actividad. Para cumplir una función de andamiaje debería estructurar apoyos que orienten la realización de una tarea, considerar la información proporcionada por el usuario, favorecer la toma de decisiones y evitar sustituir completamente su actividad cognitiva</w:t>
      </w:r>
    </w:p>
    <w:p w14:paraId="54AE85B2" w14:textId="77777777" w:rsidR="000C3AEA" w:rsidRDefault="00000000">
      <w:pPr>
        <w:pStyle w:val="Ttulo1"/>
        <w:keepNext/>
        <w:spacing w:before="240" w:after="120" w:line="360" w:lineRule="auto"/>
      </w:pPr>
      <w:r>
        <w:rPr>
          <w:rFonts w:ascii="Arial" w:hAnsi="Arial"/>
          <w:color w:val="000000"/>
          <w:sz w:val="24"/>
        </w:rPr>
        <w:t>Marco metodológico</w:t>
      </w:r>
    </w:p>
    <w:p w14:paraId="464BE67D" w14:textId="77777777" w:rsidR="000C3AEA" w:rsidRDefault="00000000">
      <w:pPr>
        <w:spacing w:after="120" w:line="360" w:lineRule="auto"/>
        <w:ind w:firstLine="720"/>
      </w:pPr>
      <w:r>
        <w:rPr>
          <w:rFonts w:ascii="Arial" w:hAnsi="Arial"/>
          <w:color w:val="000000"/>
          <w:sz w:val="24"/>
        </w:rPr>
        <w:t>La investigación se desarrolló mediante un enfoque descriptivo y exploratorio, orientado a examinar el empleo de una skill de inteligencia artificial en una experiencia concreta de diseño educativo. El propósito fue identificar características de la interacción entre los estudiantes y la skill que pudieran relacionarse con la noción de andamiaje digital. No pretendemos establecer relaciones causales ni generalizar los resultados a otras poblaciones.</w:t>
      </w:r>
    </w:p>
    <w:p w14:paraId="68D627AB" w14:textId="77777777" w:rsidR="000C3AEA" w:rsidRDefault="00000000">
      <w:pPr>
        <w:spacing w:after="120" w:line="360" w:lineRule="auto"/>
        <w:ind w:firstLine="720"/>
      </w:pPr>
      <w:r>
        <w:rPr>
          <w:rFonts w:ascii="Arial" w:hAnsi="Arial"/>
          <w:color w:val="000000"/>
          <w:sz w:val="24"/>
        </w:rPr>
        <w:t>La experiencia se realizó con doce estudiantes de octavo semestre de la mención en Tecnología Educativa de la carrera de Ciencias de la Educación, perteneciente a la Facultad de Humanidades de la Universidad Autónoma Gabriel René Moreno. Todos ellos utilizan herramientas de inteligencia artificial en sus actividades académicas, pero esta experiencia constituyó su primer contacto con una skill. Por tanto, ninguno había trabajado anteriormente con este tipo de estructura reutilizable y secuencial de interacción con inteligencia artificial.</w:t>
      </w:r>
    </w:p>
    <w:p w14:paraId="7ABCB84A" w14:textId="77777777" w:rsidR="000C3AEA" w:rsidRDefault="00000000">
      <w:pPr>
        <w:spacing w:after="120" w:line="360" w:lineRule="auto"/>
        <w:ind w:firstLine="720"/>
      </w:pPr>
      <w:r>
        <w:rPr>
          <w:rFonts w:ascii="Arial" w:hAnsi="Arial"/>
          <w:color w:val="000000"/>
          <w:sz w:val="24"/>
        </w:rPr>
        <w:t xml:space="preserve">Estos estudiantes presentaban distintos niveles de experiencia previa en el diseño de cursos en Moodle. Esta diversidad permitió observar el empleo de la herramienta tanto por estudiantes con experiencia anterior como por aquellos con </w:t>
      </w:r>
      <w:r>
        <w:rPr>
          <w:rFonts w:ascii="Arial" w:hAnsi="Arial"/>
          <w:color w:val="000000"/>
          <w:sz w:val="24"/>
        </w:rPr>
        <w:lastRenderedPageBreak/>
        <w:t>escasa práctica en este tipo de actividad. La selección fue intencional, debido a que los estudiantes formaban parte de la asignatura en la que se desarrolló la experiencia y tenían como tarea emplear la skill para crear el diseño curricular de un curso apoyado en Moodle o rediseñar uno previamente creado. Esta tarea no es obligatoria, ni forma parte del sistema de evaluación de la asignatura, por lo que algunos, aunque completaron la encuesta no llegaron a concluir el programa.</w:t>
      </w:r>
    </w:p>
    <w:p w14:paraId="34F6E1AD" w14:textId="77777777" w:rsidR="000C3AEA" w:rsidRDefault="00000000">
      <w:pPr>
        <w:pStyle w:val="Ttulo2"/>
        <w:keepNext/>
        <w:spacing w:before="240" w:after="120" w:line="360" w:lineRule="auto"/>
      </w:pPr>
      <w:r>
        <w:rPr>
          <w:color w:val="000000"/>
        </w:rPr>
        <w:t>Herramienta utilizada</w:t>
      </w:r>
    </w:p>
    <w:p w14:paraId="7E3C67CF" w14:textId="77777777" w:rsidR="000C3AEA" w:rsidRDefault="00000000">
      <w:pPr>
        <w:spacing w:after="120" w:line="360" w:lineRule="auto"/>
        <w:ind w:firstLine="720"/>
      </w:pPr>
      <w:r>
        <w:rPr>
          <w:rFonts w:ascii="Arial" w:hAnsi="Arial"/>
          <w:color w:val="000000"/>
          <w:sz w:val="24"/>
        </w:rPr>
        <w:t>Para la experiencia se empleó la skill denominada “Diseñar cursos Tipo B en Moodle”, creada para apoyar la elaboración de programas formativos estructurados alrededor del desarrollo de una microcompetencia. La skill organiza el proceso mediante una secuencia de preguntas y decisiones. El usuario debe proporcionar información sobre los participantes, la microcompetencia, los contenidos, las actividades, la evidencia final y los criterios de evaluación. Las propuestas generadas pueden ser aceptadas, modificadas o rechazadas antes de avanzar hacia la etapa siguiente.</w:t>
      </w:r>
    </w:p>
    <w:p w14:paraId="6E6778B7" w14:textId="77777777" w:rsidR="000C3AEA" w:rsidRDefault="00000000">
      <w:pPr>
        <w:spacing w:after="120" w:line="360" w:lineRule="auto"/>
        <w:ind w:firstLine="720"/>
      </w:pPr>
      <w:r>
        <w:rPr>
          <w:rFonts w:ascii="Arial" w:hAnsi="Arial"/>
          <w:color w:val="000000"/>
          <w:sz w:val="24"/>
        </w:rPr>
        <w:t>La skill se diseñó para cumplir con el siguiente propósito: Construir un programa pedagógico coherente para un curso Tipo B: autodirigido, asincrónico, sin sesiones sincrónicas y orientado a certificar una microcompetencia por medio de un desempeño observable. Mantener Moodle como entorno de aprendizaje, seguimiento, entrega, consulta, retroalimentación y evaluación. No incluir instrucciones de administración, instalación, plugins, matriculación, calificador ni configuración técnica salvo que el usuario amplíe expresamente el alcance.</w:t>
      </w:r>
    </w:p>
    <w:p w14:paraId="128F02E3" w14:textId="77777777" w:rsidR="000C3AEA" w:rsidRDefault="00000000">
      <w:pPr>
        <w:spacing w:after="120" w:line="360" w:lineRule="auto"/>
        <w:ind w:firstLine="720"/>
      </w:pPr>
      <w:r>
        <w:rPr>
          <w:rFonts w:ascii="Arial" w:hAnsi="Arial"/>
          <w:color w:val="000000"/>
          <w:sz w:val="24"/>
        </w:rPr>
        <w:t>El trabajo con la skill implica una secuencia de 15 acciones diferentes, que inician con la identificación del curso, la necesidad formativa y concluyen con la matriz de alineación y una revisión total. En cada etapa se realizan diferentes preguntas que deben ser respondidas para continuar a la siguiente etapa. De este modo la herramienta no es solo el resultado de un producto final, sino consecuencia de un proceso de interacción.</w:t>
      </w:r>
    </w:p>
    <w:p w14:paraId="136E826E" w14:textId="77777777" w:rsidR="000C3AEA" w:rsidRDefault="00000000">
      <w:pPr>
        <w:pStyle w:val="Ttulo2"/>
        <w:keepNext/>
        <w:spacing w:before="240" w:after="120" w:line="360" w:lineRule="auto"/>
      </w:pPr>
      <w:r>
        <w:rPr>
          <w:color w:val="000000"/>
        </w:rPr>
        <w:lastRenderedPageBreak/>
        <w:t>Procedimiento</w:t>
      </w:r>
    </w:p>
    <w:p w14:paraId="118E5FC6" w14:textId="77777777" w:rsidR="000C3AEA" w:rsidRDefault="00000000">
      <w:pPr>
        <w:spacing w:after="120" w:line="360" w:lineRule="auto"/>
        <w:ind w:firstLine="720"/>
      </w:pPr>
      <w:r>
        <w:rPr>
          <w:rFonts w:ascii="Arial" w:hAnsi="Arial"/>
          <w:color w:val="000000"/>
          <w:sz w:val="24"/>
        </w:rPr>
        <w:t>Es necesario destacar que estos estudiantes en una materia anterior trabajaron con Moodle y el resultado final fue la creación de un curso autodirigido sobre un tema de su elección, siempre relacionado con herramientas de IA. Pero desde que ChatGPT presentó las skill se decidió rediseñar el curso a partir de la skill a la que nos venimos refiriendo y presentar un programa detallado a la Unidad de Posgrado de la Facultad, con el objetivo de comercializar cada curso.</w:t>
      </w:r>
    </w:p>
    <w:p w14:paraId="1DFCF00B" w14:textId="77777777" w:rsidR="000C3AEA" w:rsidRDefault="00000000">
      <w:pPr>
        <w:spacing w:after="120" w:line="360" w:lineRule="auto"/>
        <w:ind w:firstLine="720"/>
      </w:pPr>
      <w:r>
        <w:rPr>
          <w:rFonts w:ascii="Arial" w:hAnsi="Arial"/>
          <w:color w:val="000000"/>
          <w:sz w:val="24"/>
        </w:rPr>
        <w:t>La skill fue creada por el autor de este trabajo y se explicó a los estudiantes como “instalarla” en su cuenta personal de ChatGPT. Todos trabajaron de manera individual en sus cuentas personales y solo se realizaron algunas revisiones puntuales y públicas en clases. Los cursos que antes habían creado en Moodle se fueron modificando a partir de la nueva estructura.</w:t>
      </w:r>
    </w:p>
    <w:p w14:paraId="0B91A9EB" w14:textId="77777777" w:rsidR="000C3AEA" w:rsidRDefault="00000000">
      <w:pPr>
        <w:pStyle w:val="Ttulo2"/>
        <w:keepNext/>
        <w:spacing w:before="240" w:after="120" w:line="360" w:lineRule="auto"/>
      </w:pPr>
      <w:r>
        <w:rPr>
          <w:color w:val="000000"/>
        </w:rPr>
        <w:t>Instrumento de recogida de información</w:t>
      </w:r>
    </w:p>
    <w:p w14:paraId="6E3060A1" w14:textId="77777777" w:rsidR="000C3AEA" w:rsidRDefault="00000000">
      <w:pPr>
        <w:spacing w:after="120" w:line="360" w:lineRule="auto"/>
        <w:ind w:firstLine="720"/>
      </w:pPr>
      <w:r>
        <w:rPr>
          <w:rFonts w:ascii="Arial" w:hAnsi="Arial"/>
          <w:color w:val="000000"/>
          <w:sz w:val="24"/>
        </w:rPr>
        <w:t>Al finalizar el período destinado a la elaboración y presentación de los programas se aplicó una encuesta diseñada para conocer la valoración de los estudiantes sobre el empleo de la skill y recoger información sobre determinados aspectos del proceso de interacción. El cuestionario combinó preguntas cerradas, escalas de valoración y preguntas abiertas, en un total de 15: diez preguntas cerradas, tres de opción múltiple y dos abiertas. La participación fue voluntaria, la información es anónima y no forma parte del sistema de evaluación de la asignatura. Los ítems se organizaron en cuatro áreas relacionadas con la experiencia de uso.</w:t>
      </w:r>
    </w:p>
    <w:p w14:paraId="50F7EC89" w14:textId="77777777" w:rsidR="000C3AEA" w:rsidRDefault="00000000">
      <w:pPr>
        <w:spacing w:after="120" w:line="360" w:lineRule="auto"/>
        <w:ind w:firstLine="720"/>
      </w:pPr>
      <w:r>
        <w:rPr>
          <w:rFonts w:ascii="Arial" w:hAnsi="Arial"/>
          <w:color w:val="000000"/>
          <w:sz w:val="24"/>
        </w:rPr>
        <w:t>La primera correspondió a la orientación progresiva de la tarea, entendida como la capacidad de la skill para conducir al estudiante mediante una secuencia comprensible de pasos. La segunda área se relacionó con la participación en la toma de decisiones, particularmente con la posibilidad de aceptar, modificar o rechazar las propuestas generadas por la herramienta.</w:t>
      </w:r>
    </w:p>
    <w:p w14:paraId="523A1AE9" w14:textId="77777777" w:rsidR="000C3AEA" w:rsidRDefault="00000000">
      <w:pPr>
        <w:spacing w:after="120" w:line="360" w:lineRule="auto"/>
        <w:ind w:firstLine="720"/>
      </w:pPr>
      <w:r>
        <w:rPr>
          <w:rFonts w:ascii="Arial" w:hAnsi="Arial"/>
          <w:color w:val="000000"/>
          <w:sz w:val="24"/>
        </w:rPr>
        <w:t xml:space="preserve">La tercera correspondió a la revisión y validación del producto, considerando las acciones realizadas por los estudiantes para comprobar la coherencia entre microcompetencia, actividades, contenidos y evaluación. La cuarta área estuvo </w:t>
      </w:r>
      <w:r>
        <w:rPr>
          <w:rFonts w:ascii="Arial" w:hAnsi="Arial"/>
          <w:color w:val="000000"/>
          <w:sz w:val="24"/>
        </w:rPr>
        <w:lastRenderedPageBreak/>
        <w:t>vinculada con la autonomía durante el proceso, observada a partir del grado de ayuda externa que necesitaron los participantes para completar la actividad.</w:t>
      </w:r>
    </w:p>
    <w:p w14:paraId="1A274001" w14:textId="77777777" w:rsidR="000C3AEA" w:rsidRDefault="00000000">
      <w:pPr>
        <w:spacing w:after="120" w:line="360" w:lineRule="auto"/>
        <w:ind w:firstLine="720"/>
      </w:pPr>
      <w:r>
        <w:rPr>
          <w:rFonts w:ascii="Arial" w:hAnsi="Arial"/>
          <w:color w:val="000000"/>
          <w:sz w:val="24"/>
        </w:rPr>
        <w:t>Las preguntas abiertas permitieron identificar valoraciones relacionadas con la utilidad de la secuencia de trabajo, el acompañamiento proporcionado por la skill, las dificultades de interacción y las modificaciones que los estudiantes consideraron necesarias.</w:t>
      </w:r>
    </w:p>
    <w:p w14:paraId="6ECF144B" w14:textId="77777777" w:rsidR="000C3AEA" w:rsidRDefault="00000000">
      <w:pPr>
        <w:pStyle w:val="Ttulo2"/>
        <w:keepNext/>
        <w:spacing w:before="240" w:after="120" w:line="360" w:lineRule="auto"/>
      </w:pPr>
      <w:r>
        <w:rPr>
          <w:color w:val="000000"/>
        </w:rPr>
        <w:t>Análisis de los datos</w:t>
      </w:r>
    </w:p>
    <w:p w14:paraId="194A685A" w14:textId="77777777" w:rsidR="000C3AEA" w:rsidRDefault="00000000">
      <w:pPr>
        <w:spacing w:after="120" w:line="360" w:lineRule="auto"/>
        <w:ind w:firstLine="720"/>
      </w:pPr>
      <w:r>
        <w:rPr>
          <w:rFonts w:ascii="Arial" w:hAnsi="Arial"/>
          <w:color w:val="000000"/>
          <w:sz w:val="24"/>
        </w:rPr>
        <w:t>Las respuestas cerradas fueron analizadas mediante estadística descriptiva, utilizando frecuencias absolutas y porcentajes. Este análisis permitió identificar las principales tendencias de valoración en cada una de las dimensiones consideradas.</w:t>
      </w:r>
    </w:p>
    <w:p w14:paraId="5691F5C6" w14:textId="77777777" w:rsidR="000C3AEA" w:rsidRDefault="00000000">
      <w:pPr>
        <w:spacing w:after="120" w:line="360" w:lineRule="auto"/>
        <w:ind w:firstLine="720"/>
      </w:pPr>
      <w:r>
        <w:rPr>
          <w:rFonts w:ascii="Arial" w:hAnsi="Arial"/>
          <w:color w:val="000000"/>
          <w:sz w:val="24"/>
        </w:rPr>
        <w:t>Las respuestas abiertas fueron sometidas a un proceso de categorización temática descriptiva. Se identificaron ideas recurrentes vinculadas con la orientación paso a paso, la toma de decisiones, la revisión del programa, la autonomía, las dificultades de interacción y las propuestas de mejora.</w:t>
      </w:r>
    </w:p>
    <w:p w14:paraId="388E85CC" w14:textId="77777777" w:rsidR="000C3AEA" w:rsidRDefault="00000000">
      <w:pPr>
        <w:spacing w:after="120" w:line="360" w:lineRule="auto"/>
        <w:ind w:firstLine="720"/>
      </w:pPr>
      <w:r>
        <w:rPr>
          <w:rFonts w:ascii="Arial" w:hAnsi="Arial"/>
          <w:color w:val="000000"/>
          <w:sz w:val="24"/>
        </w:rPr>
        <w:t>El análisis integró la información cuantitativa y cualitativa con el propósito de examinar si la experiencia presentaba características compatibles con la noción de andamiaje digital planteada en la introducción.</w:t>
      </w:r>
    </w:p>
    <w:p w14:paraId="4EAFA6EB" w14:textId="77777777" w:rsidR="000C3AEA" w:rsidRDefault="00000000">
      <w:pPr>
        <w:spacing w:after="120" w:line="360" w:lineRule="auto"/>
        <w:ind w:firstLine="720"/>
      </w:pPr>
      <w:r>
        <w:rPr>
          <w:rFonts w:ascii="Arial" w:hAnsi="Arial"/>
          <w:color w:val="000000"/>
          <w:sz w:val="24"/>
        </w:rPr>
        <w:t>Dado el reducido número de participantes, el carácter contextual de la experiencia, el hecho de que fue la primera vez que trabajaron con una skill, los resultados se interpretan como evidencia descriptiva y exploratoria. No se pretende establecer generalizaciones estadísticas ni demostrar que la skill constituye, por sí misma, un andamiaje digital. El análisis se orienta a identificar en qué medida su diseño y utilización presentan rasgos asociados con este concepto.</w:t>
      </w:r>
    </w:p>
    <w:p w14:paraId="43A36DF9" w14:textId="77777777" w:rsidR="000C3AEA" w:rsidRDefault="00000000">
      <w:pPr>
        <w:pStyle w:val="Ttulo1"/>
        <w:keepNext/>
        <w:spacing w:before="240" w:after="120" w:line="360" w:lineRule="auto"/>
      </w:pPr>
      <w:r>
        <w:rPr>
          <w:rFonts w:ascii="Arial" w:hAnsi="Arial"/>
          <w:color w:val="000000"/>
          <w:sz w:val="24"/>
        </w:rPr>
        <w:t>Resultados obtenidos y análisis</w:t>
      </w:r>
    </w:p>
    <w:p w14:paraId="6FBEB2CF" w14:textId="77777777" w:rsidR="000C3AEA" w:rsidRDefault="00000000">
      <w:pPr>
        <w:spacing w:after="120" w:line="360" w:lineRule="auto"/>
        <w:ind w:firstLine="720"/>
      </w:pPr>
      <w:r>
        <w:rPr>
          <w:rFonts w:ascii="Arial" w:hAnsi="Arial"/>
          <w:color w:val="000000"/>
          <w:sz w:val="24"/>
        </w:rPr>
        <w:t xml:space="preserve">La encuesta fue respondida por los doce estudiantes que participaron en la experiencia. Los resultados se organizaron considerando la experiencia previa de los participantes, el nivel de avance alcanzado y las cuatro dimensiones establecidas para el análisis: orientación progresiva de la tarea, participación en la toma de decisiones, </w:t>
      </w:r>
      <w:r>
        <w:rPr>
          <w:rFonts w:ascii="Arial" w:hAnsi="Arial"/>
          <w:color w:val="000000"/>
          <w:sz w:val="24"/>
        </w:rPr>
        <w:lastRenderedPageBreak/>
        <w:t>revisión del producto y autonomía durante el proceso.</w:t>
      </w:r>
    </w:p>
    <w:p w14:paraId="01DEA8BD" w14:textId="77777777" w:rsidR="000C3AEA" w:rsidRDefault="00000000">
      <w:pPr>
        <w:spacing w:after="120" w:line="360" w:lineRule="auto"/>
        <w:ind w:firstLine="720"/>
      </w:pPr>
      <w:r>
        <w:rPr>
          <w:rFonts w:ascii="Arial" w:hAnsi="Arial"/>
          <w:color w:val="000000"/>
          <w:sz w:val="24"/>
        </w:rPr>
        <w:t>Los participantes presentaron diferentes niveles de experiencia en el diseño de cursos. Ocho estudiantes indicaron que habían diseñado anteriormente un curso, uno manifestó no tener experiencia previa, otro había estudiado aspectos relacionados con el diseño de cursos, pero no había elaborado uno y dos estudiantes señalaron haber diseñado varios cursos. Es importante señalar que una estudiante lleva a la misma vez la materia donde aprenden a crear cursos en Moodle, la que es de un semestre anterior y otra realizó su aula en semestres anteriores. En la práctica son nueve estudiantes los que vienen de la asignatura anterior.</w:t>
      </w:r>
    </w:p>
    <w:p w14:paraId="55FBFFC0" w14:textId="77777777" w:rsidR="000C3AEA" w:rsidRDefault="00000000">
      <w:pPr>
        <w:spacing w:after="120" w:line="360" w:lineRule="auto"/>
        <w:ind w:firstLine="720"/>
      </w:pPr>
      <w:r>
        <w:rPr>
          <w:rFonts w:ascii="Arial" w:hAnsi="Arial"/>
          <w:color w:val="000000"/>
          <w:sz w:val="24"/>
        </w:rPr>
        <w:t>Al finalizar la experiencia se observaron distintos niveles de avance. Cuatro estudiantes llegaron a implementar el curso en Moodle, tres obtuvieron un programa completo, tres revisaron y adaptaron el programa generado y dos alcanzaron una propuesta parcial. En conjunto, diez de los doce participantes llegaron, como mínimo, a disponer de un programa completo, revisado o implementado, que era la tarea propuesta para ellos. Los que no lo hicieron fue por voluntad propia o falta de tiempo, ya que la tarea no es obligatoria.</w:t>
      </w:r>
    </w:p>
    <w:p w14:paraId="3F8F3F38" w14:textId="77777777" w:rsidR="000C3AEA" w:rsidRDefault="00000000">
      <w:pPr>
        <w:pStyle w:val="Ttulo2"/>
        <w:keepNext/>
        <w:spacing w:before="240" w:after="120" w:line="360" w:lineRule="auto"/>
      </w:pPr>
      <w:r>
        <w:rPr>
          <w:color w:val="000000"/>
        </w:rPr>
        <w:t>Orientación progresiva de la tarea</w:t>
      </w:r>
    </w:p>
    <w:p w14:paraId="75792959" w14:textId="77777777" w:rsidR="000C3AEA" w:rsidRDefault="00000000">
      <w:pPr>
        <w:spacing w:after="120" w:line="360" w:lineRule="auto"/>
        <w:ind w:firstLine="720"/>
      </w:pPr>
      <w:r>
        <w:rPr>
          <w:rFonts w:ascii="Arial" w:hAnsi="Arial"/>
          <w:color w:val="000000"/>
          <w:sz w:val="24"/>
        </w:rPr>
        <w:t>Uno de los aspectos evaluados fue la comprensión de las preguntas y orientaciones presentadas durante el proceso de trabajo con la skill. Siete de los doce participantes (58,3 %) manifestaron estar de acuerdo o totalmente de acuerdo con que las preguntas formuladas por la skill eran fáciles de comprender.</w:t>
      </w:r>
    </w:p>
    <w:p w14:paraId="44342BA6" w14:textId="77777777" w:rsidR="000C3AEA" w:rsidRDefault="00000000">
      <w:pPr>
        <w:spacing w:after="120" w:line="360" w:lineRule="auto"/>
        <w:ind w:firstLine="720"/>
      </w:pPr>
      <w:r>
        <w:rPr>
          <w:rFonts w:ascii="Arial" w:hAnsi="Arial"/>
          <w:color w:val="000000"/>
          <w:sz w:val="24"/>
        </w:rPr>
        <w:t>Las respuestas abiertas aportaron información adicional. Entre los aspectos considerados más útiles aparecieron expresiones vinculadas con el “avance progresivo”, el “proceso paso a paso”, el “acompañamiento” y la posibilidad de seguir una secuencia previamente estructurada. Un participante destacó específicamente que la herramienta proporcionaba una “guía paso a paso sin llegar directamente al resultado final”.</w:t>
      </w:r>
    </w:p>
    <w:p w14:paraId="207B63F0" w14:textId="77777777" w:rsidR="000C3AEA" w:rsidRDefault="00000000">
      <w:pPr>
        <w:spacing w:after="120" w:line="360" w:lineRule="auto"/>
        <w:ind w:firstLine="720"/>
      </w:pPr>
      <w:r>
        <w:rPr>
          <w:rFonts w:ascii="Arial" w:hAnsi="Arial"/>
          <w:color w:val="000000"/>
          <w:sz w:val="24"/>
        </w:rPr>
        <w:t xml:space="preserve">No obstante, cuatro estudiantes indicaron haber encontrado dificultades para comprender algunas de las preguntas y otros cuatro señalaron dificultades para </w:t>
      </w:r>
      <w:r>
        <w:rPr>
          <w:rFonts w:ascii="Arial" w:hAnsi="Arial"/>
          <w:color w:val="000000"/>
          <w:sz w:val="24"/>
        </w:rPr>
        <w:lastRenderedPageBreak/>
        <w:t>proporcionar la información que la herramienta solicitaba. Esto muestra que la estructura secuencial fue valorada por varios participantes, aunque determinadas etapas de la interacción requirieron mayor claridad.</w:t>
      </w:r>
    </w:p>
    <w:p w14:paraId="38B59F7E" w14:textId="77777777" w:rsidR="000C3AEA" w:rsidRDefault="00000000">
      <w:pPr>
        <w:pStyle w:val="Ttulo2"/>
        <w:keepNext/>
        <w:spacing w:before="240" w:after="120" w:line="360" w:lineRule="auto"/>
      </w:pPr>
      <w:r>
        <w:rPr>
          <w:color w:val="000000"/>
        </w:rPr>
        <w:t>Participación en la toma de decisiones</w:t>
      </w:r>
    </w:p>
    <w:p w14:paraId="2AB46C2F" w14:textId="77777777" w:rsidR="000C3AEA" w:rsidRDefault="00000000">
      <w:pPr>
        <w:spacing w:after="120" w:line="360" w:lineRule="auto"/>
        <w:ind w:firstLine="720"/>
      </w:pPr>
      <w:r>
        <w:rPr>
          <w:rFonts w:ascii="Arial" w:hAnsi="Arial"/>
          <w:color w:val="000000"/>
          <w:sz w:val="24"/>
        </w:rPr>
        <w:t>La posibilidad de intervenir sobre las propuestas generadas obtuvo una valoración favorable. Nueve de los doce estudiantes (75 %) estuvieron de acuerdo o totalmente de acuerdo con que podían solicitar cambios y ajustar las propuestas realizadas por la skill. Las respuestas abiertas también señalaron como aspectos útiles la posibilidad de tomar decisiones durante el proceso y de modificar los diferentes componentes del programa antes de continuar.</w:t>
      </w:r>
    </w:p>
    <w:p w14:paraId="66A6FE85" w14:textId="77777777" w:rsidR="000C3AEA" w:rsidRDefault="00000000">
      <w:pPr>
        <w:spacing w:after="120" w:line="360" w:lineRule="auto"/>
        <w:ind w:firstLine="720"/>
      </w:pPr>
      <w:r>
        <w:rPr>
          <w:rFonts w:ascii="Arial" w:hAnsi="Arial"/>
          <w:color w:val="000000"/>
          <w:sz w:val="24"/>
        </w:rPr>
        <w:t>Sin embargo, cuatro participantes indicaron que, en algún momento, encontraron dificultades para conseguir que la herramienta respetara completamente sus indicaciones. Este resultado señala una diferencia entre la existencia formal de posibilidades de modificación y la capacidad del sistema para responder satisfactoriamente a todas las decisiones expresadas por el usuario.</w:t>
      </w:r>
    </w:p>
    <w:p w14:paraId="2F7F1E0B" w14:textId="77777777" w:rsidR="000C3AEA" w:rsidRDefault="00000000">
      <w:pPr>
        <w:pStyle w:val="Ttulo2"/>
        <w:keepNext/>
        <w:spacing w:before="240" w:after="120" w:line="360" w:lineRule="auto"/>
      </w:pPr>
      <w:r>
        <w:rPr>
          <w:color w:val="000000"/>
        </w:rPr>
        <w:t>Revisión y validación del programa</w:t>
      </w:r>
    </w:p>
    <w:p w14:paraId="3AB04AC9" w14:textId="77777777" w:rsidR="000C3AEA" w:rsidRDefault="00000000">
      <w:pPr>
        <w:spacing w:after="120" w:line="360" w:lineRule="auto"/>
        <w:ind w:firstLine="720"/>
      </w:pPr>
      <w:r>
        <w:rPr>
          <w:rFonts w:ascii="Arial" w:hAnsi="Arial"/>
          <w:color w:val="000000"/>
          <w:sz w:val="24"/>
        </w:rPr>
        <w:t>La revisión del programa constituyó uno de los aspectos más visibles de la experiencia. Diez de los doce estudiantes comprobaron la relación entre la microcompetencia, las actividades y la evaluación. Siete revisaron si el trabajo propuesto era viable para ser desarrollado de manera autónoma y cinco contrastaron los contenidos con otras fuentes.</w:t>
      </w:r>
    </w:p>
    <w:p w14:paraId="1831E31A" w14:textId="77777777" w:rsidR="000C3AEA" w:rsidRDefault="00000000">
      <w:pPr>
        <w:spacing w:after="120" w:line="360" w:lineRule="auto"/>
        <w:ind w:firstLine="720"/>
      </w:pPr>
      <w:r>
        <w:rPr>
          <w:rFonts w:ascii="Arial" w:hAnsi="Arial"/>
          <w:color w:val="000000"/>
          <w:sz w:val="24"/>
        </w:rPr>
        <w:t>Tres estudiantes comprobaron específicamente la adecuación de la propuesta a las características de los participantes y dos recurrieron además a otra persona para revisar el diseño. Solo uno de los doce participantes manifestó haber aceptado la propuesta sin realizar una revisión posterior.</w:t>
      </w:r>
    </w:p>
    <w:p w14:paraId="4CE22D5E" w14:textId="77777777" w:rsidR="000C3AEA" w:rsidRDefault="00000000">
      <w:pPr>
        <w:spacing w:after="120" w:line="360" w:lineRule="auto"/>
        <w:ind w:firstLine="720"/>
      </w:pPr>
      <w:r>
        <w:rPr>
          <w:rFonts w:ascii="Arial" w:hAnsi="Arial"/>
          <w:color w:val="000000"/>
          <w:sz w:val="24"/>
        </w:rPr>
        <w:t xml:space="preserve">Las valoraciones de los componentes del programa fueron mayoritariamente positivas. Nueve de los doce estudiantes (75 %) estuvieron de acuerdo o totalmente de acuerdo con la claridad de la microcompetencia, la pertinencia de los contenidos y la adecuación de la evidencia final. El mismo porcentaje valoró favorablemente la </w:t>
      </w:r>
      <w:r>
        <w:rPr>
          <w:rFonts w:ascii="Arial" w:hAnsi="Arial"/>
          <w:color w:val="000000"/>
          <w:sz w:val="24"/>
        </w:rPr>
        <w:lastRenderedPageBreak/>
        <w:t>correspondencia del programa con las características de sus destinatarios.</w:t>
      </w:r>
    </w:p>
    <w:p w14:paraId="1BF34F95" w14:textId="77777777" w:rsidR="000C3AEA" w:rsidRDefault="00000000">
      <w:pPr>
        <w:spacing w:after="120" w:line="360" w:lineRule="auto"/>
        <w:ind w:firstLine="720"/>
      </w:pPr>
      <w:r>
        <w:rPr>
          <w:rFonts w:ascii="Arial" w:hAnsi="Arial"/>
          <w:color w:val="000000"/>
          <w:sz w:val="24"/>
        </w:rPr>
        <w:t>Los criterios de evaluación obtuvieron la valoración más alta: diez de los doce participantes (83,3 %) consideraron que permitían valorar adecuadamente la evidencia final.</w:t>
      </w:r>
    </w:p>
    <w:p w14:paraId="6040D833" w14:textId="77777777" w:rsidR="000C3AEA" w:rsidRDefault="00000000">
      <w:pPr>
        <w:pStyle w:val="Ttulo2"/>
        <w:keepNext/>
        <w:spacing w:before="240" w:after="120" w:line="360" w:lineRule="auto"/>
      </w:pPr>
      <w:r>
        <w:rPr>
          <w:color w:val="000000"/>
        </w:rPr>
        <w:t>Autonomía durante el proceso</w:t>
      </w:r>
    </w:p>
    <w:p w14:paraId="32B30AE6" w14:textId="77777777" w:rsidR="000C3AEA" w:rsidRDefault="00000000">
      <w:pPr>
        <w:spacing w:after="120" w:line="360" w:lineRule="auto"/>
        <w:ind w:firstLine="720"/>
      </w:pPr>
      <w:r>
        <w:rPr>
          <w:rFonts w:ascii="Arial" w:hAnsi="Arial"/>
          <w:color w:val="000000"/>
          <w:sz w:val="24"/>
        </w:rPr>
        <w:t>El nivel de ayuda externa requerida fue utilizado como uno de los indicadores de autonomía. Tres estudiantes señalaron que pudieron completar el proceso sin ayuda y seis indicaron que necesitaron únicamente apoyo puntual. En consecuencia, nueve de los doce participantes desarrollaron la actividad sin asistencia externa o con intervenciones ocasionales.</w:t>
      </w:r>
    </w:p>
    <w:p w14:paraId="19B5E263" w14:textId="77777777" w:rsidR="000C3AEA" w:rsidRDefault="00000000">
      <w:pPr>
        <w:spacing w:after="120" w:line="360" w:lineRule="auto"/>
        <w:ind w:firstLine="720"/>
      </w:pPr>
      <w:r>
        <w:rPr>
          <w:rFonts w:ascii="Arial" w:hAnsi="Arial"/>
          <w:color w:val="000000"/>
          <w:sz w:val="24"/>
        </w:rPr>
        <w:t>Dos estudiantes necesitaron ayuda en varios pasos, mientras que uno manifestó haber requerido acompañamiento durante todo el proceso. Es necesario señalar que se había previsto que los estudiantes entregaran el programa terminado a una estudiante de la materia, que también cumplió la función de uniformizar los programas en relación con el formato y estructura, sin modificar el contenido. Ella, como los demás, nunca había trabajado con una skill.</w:t>
      </w:r>
    </w:p>
    <w:p w14:paraId="71BAB8B8" w14:textId="77777777" w:rsidR="000C3AEA" w:rsidRDefault="00000000">
      <w:pPr>
        <w:spacing w:after="120" w:line="360" w:lineRule="auto"/>
        <w:ind w:firstLine="720"/>
      </w:pPr>
      <w:r>
        <w:rPr>
          <w:rFonts w:ascii="Arial" w:hAnsi="Arial"/>
          <w:color w:val="000000"/>
          <w:sz w:val="24"/>
        </w:rPr>
        <w:t>Estos resultados deben considerarse junto con la experiencia previa del grupo, debido a que los participantes presentaban distintos niveles de familiaridad con el diseño de cursos.</w:t>
      </w:r>
    </w:p>
    <w:p w14:paraId="234D52FF" w14:textId="77777777" w:rsidR="000C3AEA" w:rsidRDefault="00000000">
      <w:pPr>
        <w:spacing w:after="120" w:line="360" w:lineRule="auto"/>
        <w:ind w:firstLine="720"/>
      </w:pPr>
      <w:r>
        <w:rPr>
          <w:rFonts w:ascii="Arial" w:hAnsi="Arial"/>
          <w:color w:val="000000"/>
          <w:sz w:val="24"/>
        </w:rPr>
        <w:t>La transición entre el diseño producido mediante la skill y su posterior organización en Moodle fue el aspecto con una valoración menos favorable. La mitad de los participantes estuvo de acuerdo o totalmente de acuerdo con que el programa obtenido resultaba suficientemente claro para organizar posteriormente el curso en la plataforma. Cuatro estudiantes señalaron además haber encontrado dificultades al adaptar el programa generado a Moodle.</w:t>
      </w:r>
    </w:p>
    <w:p w14:paraId="6875C6B1" w14:textId="77777777" w:rsidR="000C3AEA" w:rsidRDefault="00000000">
      <w:pPr>
        <w:spacing w:after="120" w:line="360" w:lineRule="auto"/>
        <w:ind w:firstLine="720"/>
      </w:pPr>
      <w:r>
        <w:rPr>
          <w:rFonts w:ascii="Arial" w:hAnsi="Arial"/>
          <w:color w:val="000000"/>
          <w:sz w:val="24"/>
        </w:rPr>
        <w:t xml:space="preserve">Las sugerencias formuladas en las respuestas abiertas se concentraron parcialmente en este aspecto. Los participantes propusieron ampliar las alternativas de actividades y recursos disponibles para Moodle, hacer más visibles las etapas del proceso y ofrecer mayor orientación para trasladar el diseño generado a la estructura </w:t>
      </w:r>
      <w:r>
        <w:rPr>
          <w:rFonts w:ascii="Arial" w:hAnsi="Arial"/>
          <w:color w:val="000000"/>
          <w:sz w:val="24"/>
        </w:rPr>
        <w:lastRenderedPageBreak/>
        <w:t>concreta del aula virtual.</w:t>
      </w:r>
    </w:p>
    <w:p w14:paraId="09546E23" w14:textId="77777777" w:rsidR="000C3AEA" w:rsidRDefault="00000000">
      <w:pPr>
        <w:pStyle w:val="Ttulo2"/>
        <w:keepNext/>
        <w:spacing w:before="240" w:after="120" w:line="360" w:lineRule="auto"/>
      </w:pPr>
      <w:r>
        <w:rPr>
          <w:color w:val="000000"/>
        </w:rPr>
        <w:t>Sugerencias de mejora</w:t>
      </w:r>
    </w:p>
    <w:p w14:paraId="0711F588" w14:textId="77777777" w:rsidR="000C3AEA" w:rsidRDefault="00000000">
      <w:pPr>
        <w:spacing w:after="120" w:line="360" w:lineRule="auto"/>
        <w:ind w:firstLine="720"/>
      </w:pPr>
      <w:r>
        <w:rPr>
          <w:rFonts w:ascii="Arial" w:hAnsi="Arial"/>
          <w:color w:val="000000"/>
          <w:sz w:val="24"/>
        </w:rPr>
        <w:t>Las respuestas abiertas permitieron identificar varias propuestas para perfeccionar la skill. Entre ellas se mencionaron la necesidad de formular algunas indicaciones de manera más intuitiva, identificar con mayor claridad las diferentes fases del proceso, considerar el contexto institucional en el que se desarrollará el curso e incorporar un diagnóstico inicial de necesidades.</w:t>
      </w:r>
    </w:p>
    <w:p w14:paraId="57051A74" w14:textId="77777777" w:rsidR="000C3AEA" w:rsidRDefault="00000000">
      <w:pPr>
        <w:spacing w:after="120" w:line="360" w:lineRule="auto"/>
        <w:ind w:firstLine="720"/>
      </w:pPr>
      <w:r>
        <w:rPr>
          <w:rFonts w:ascii="Arial" w:hAnsi="Arial"/>
          <w:color w:val="000000"/>
          <w:sz w:val="24"/>
        </w:rPr>
        <w:t>También se sugirió ampliar las alternativas de actividades y recursos, mejorar la adaptación a las características de los participantes y considerar con mayor precisión el tiempo disponible para desarrollar el curso. Otro planteamiento fue disponer de un procedimiento posterior de revisión que permitiera comprobar la viabilidad del programa una vez concluido su diseño. Esta tarea corresponde a la siguiente etapa, donde los cursos se revisarán en detalle, antes de su comercialización.</w:t>
      </w:r>
    </w:p>
    <w:p w14:paraId="79D4A8E2" w14:textId="77777777" w:rsidR="000C3AEA" w:rsidRDefault="00000000">
      <w:pPr>
        <w:spacing w:after="120" w:line="360" w:lineRule="auto"/>
        <w:ind w:firstLine="720"/>
      </w:pPr>
      <w:r>
        <w:rPr>
          <w:rFonts w:ascii="Arial" w:hAnsi="Arial"/>
          <w:color w:val="000000"/>
          <w:sz w:val="24"/>
        </w:rPr>
        <w:t>En síntesis, los resultados muestran una valoración predominantemente favorable de la secuencia de trabajo, la posibilidad de modificar las propuestas y la coherencia entre los componentes del programa. También evidencian diferencias en el nivel de autonomía alcanzado y señalan dificultades específicas relacionadas con algunas preguntas de la skill y, especialmente, con la posterior adaptación del programa a Moodle.</w:t>
      </w:r>
    </w:p>
    <w:p w14:paraId="6E5FD0A6" w14:textId="77777777" w:rsidR="000C3AEA" w:rsidRDefault="00000000">
      <w:pPr>
        <w:pStyle w:val="Ttulo2"/>
        <w:keepNext/>
        <w:spacing w:before="240" w:after="120" w:line="360" w:lineRule="auto"/>
      </w:pPr>
      <w:r>
        <w:rPr>
          <w:color w:val="000000"/>
        </w:rPr>
        <w:t>Discusión de los resultados</w:t>
      </w:r>
    </w:p>
    <w:p w14:paraId="6CD45588" w14:textId="77777777" w:rsidR="000C3AEA" w:rsidRDefault="00000000">
      <w:pPr>
        <w:spacing w:after="120" w:line="360" w:lineRule="auto"/>
        <w:ind w:firstLine="720"/>
      </w:pPr>
      <w:r>
        <w:rPr>
          <w:rFonts w:ascii="Arial" w:hAnsi="Arial"/>
          <w:color w:val="000000"/>
          <w:sz w:val="24"/>
        </w:rPr>
        <w:t>Los resultados permiten sostener, a partir del carácter exploratorio del estudio, que la skill analizada presenta varias características compatibles con la noción de andamiaje digital. Esta interpretación no se deriva simplemente del uso de inteligencia artificial, sino de la forma en que la herramienta organiza la interacción: mediante una secuencia de quince acciones, preguntas progresivas y decisiones que deben ser resueltas antes de avanzar hacia la elaboración completa del programa.</w:t>
      </w:r>
    </w:p>
    <w:p w14:paraId="28E22B88" w14:textId="77777777" w:rsidR="000C3AEA" w:rsidRDefault="00000000">
      <w:pPr>
        <w:spacing w:after="120" w:line="360" w:lineRule="auto"/>
        <w:ind w:firstLine="720"/>
      </w:pPr>
      <w:r>
        <w:rPr>
          <w:rFonts w:ascii="Arial" w:hAnsi="Arial"/>
          <w:color w:val="000000"/>
          <w:sz w:val="24"/>
        </w:rPr>
        <w:t xml:space="preserve">Esta característica resulta relevante desde la concepción original del andamiaje propuesta por Wood, Bruner y Ross (1976). Los autores plantearon el andamiaje como una forma de apoyo que permite al aprendiz afrontar elementos de una tarea que </w:t>
      </w:r>
      <w:r>
        <w:rPr>
          <w:rFonts w:ascii="Arial" w:hAnsi="Arial"/>
          <w:color w:val="000000"/>
          <w:sz w:val="24"/>
        </w:rPr>
        <w:lastRenderedPageBreak/>
        <w:t>inicialmente exceden sus posibilidades de resolución independiente. En la experiencia estudiada, la skill no realiza directamente el programa del curso, sino que fragmenta esta tarea compleja, en decisiones sucesivas relacionadas con los participantes, la microcompetencia, los contenidos, las actividades y la evaluación.</w:t>
      </w:r>
    </w:p>
    <w:p w14:paraId="07ACD441" w14:textId="77777777" w:rsidR="000C3AEA" w:rsidRDefault="00000000">
      <w:pPr>
        <w:spacing w:after="120" w:line="360" w:lineRule="auto"/>
        <w:ind w:firstLine="720"/>
      </w:pPr>
      <w:r>
        <w:rPr>
          <w:rFonts w:ascii="Arial" w:hAnsi="Arial"/>
          <w:color w:val="000000"/>
          <w:sz w:val="24"/>
        </w:rPr>
        <w:t>Las respuestas de los estudiantes refuerzan esta interpretación. La valoración del “avance progresivo”, del “proceso paso a paso” y de una “guía paso a paso sin llegar directamente al resultado final” sugiere la percepción de la utilidad de la herramienta precisamente en la estructuración del proceso y no únicamente en la obtención del producto. Este elemento permite distinguir la experiencia de una utilización de la IA centrada solamente en la generación automática de contenidos a partir de prompts.</w:t>
      </w:r>
    </w:p>
    <w:p w14:paraId="0C577EE8" w14:textId="77777777" w:rsidR="000C3AEA" w:rsidRDefault="00000000">
      <w:pPr>
        <w:spacing w:after="120" w:line="360" w:lineRule="auto"/>
        <w:ind w:firstLine="720"/>
      </w:pPr>
      <w:r>
        <w:rPr>
          <w:rFonts w:ascii="Arial" w:hAnsi="Arial"/>
          <w:color w:val="000000"/>
          <w:sz w:val="24"/>
        </w:rPr>
        <w:t>La secuencia propuesta por la skill puede interpretarse igualmente desde la perspectiva del andamiaje mediado por tecnología. Belland et al. (2017) señalan que el computer-based scaffolding puede apoyar a los estudiantes durante la resolución de problemas, metas o tareas complejas y contribuir al desarrollo e integración de habilidades cognitivas de orden superior. Su metaanálisis, basado en 144 estudios experimentales, encontró efectos positivos del andamiaje computacional en diferentes poblaciones y contextos educativos. La experiencia presentada en este trabajo se sitúa en una escala mucho menor y no permite establecer efectos sobre el aprendizaje, pero muestra que una skill puede asumir algunas funciones tradicionalmente asociadas con este tipo de apoyo tecnológico.</w:t>
      </w:r>
    </w:p>
    <w:p w14:paraId="13AC5417" w14:textId="77777777" w:rsidR="000C3AEA" w:rsidRDefault="00000000">
      <w:pPr>
        <w:spacing w:after="120" w:line="360" w:lineRule="auto"/>
        <w:ind w:firstLine="720"/>
      </w:pPr>
      <w:r>
        <w:rPr>
          <w:rFonts w:ascii="Arial" w:hAnsi="Arial"/>
          <w:color w:val="000000"/>
          <w:sz w:val="24"/>
        </w:rPr>
        <w:t>Un segundo aspecto relevante corresponde a la participación del estudiante en la toma de decisiones. El funcionamiento de la skill permite aceptar, rechazar o modificar las propuestas antes de continuar con la etapa siguiente, y la mayoría de los estudiantes valoró favorablemente esta posibilidad. Este resultado resulta importante porque el andamiaje pierde parte de su sentido pedagógico cuando la herramienta sustituye completamente la actividad del aprendiz. En el caso estudiado, la IA propone alternativas, pero la estructura diseñada conserva espacios de intervención para el usuario.</w:t>
      </w:r>
    </w:p>
    <w:p w14:paraId="5522A69C" w14:textId="77777777" w:rsidR="000C3AEA" w:rsidRDefault="00000000">
      <w:pPr>
        <w:spacing w:after="120" w:line="360" w:lineRule="auto"/>
        <w:ind w:firstLine="720"/>
      </w:pPr>
      <w:r>
        <w:rPr>
          <w:rFonts w:ascii="Arial" w:hAnsi="Arial"/>
          <w:color w:val="000000"/>
          <w:sz w:val="24"/>
        </w:rPr>
        <w:t xml:space="preserve">Esta participación no fue totalmente satisfactoria. Algunos estudiantes señalaron </w:t>
      </w:r>
      <w:r>
        <w:rPr>
          <w:rFonts w:ascii="Arial" w:hAnsi="Arial"/>
          <w:color w:val="000000"/>
          <w:sz w:val="24"/>
        </w:rPr>
        <w:lastRenderedPageBreak/>
        <w:t>dificultades para conseguir que la skill respetara determinadas indicaciones. Esta limitación resulta significativa desde la perspectiva del andamiaje, porque una de sus características es la contingencia: el apoyo debería responder a las necesidades y acciones del aprendiz. Una herramienta que sigue una secuencia predeterminada, pero no logra ajustar adecuadamente sus respuestas a las decisiones del usuario, puede funcionar como guía estructurada sin alcanzar plenamente un apoyo contingente. También se debe tomar en cuenta que es la primera vez que se enfrentan al trabajo con una skill.</w:t>
      </w:r>
    </w:p>
    <w:p w14:paraId="2D5E879D" w14:textId="77777777" w:rsidR="000C3AEA" w:rsidRDefault="00000000">
      <w:pPr>
        <w:spacing w:after="120" w:line="360" w:lineRule="auto"/>
        <w:ind w:firstLine="720"/>
      </w:pPr>
      <w:r>
        <w:rPr>
          <w:rFonts w:ascii="Arial" w:hAnsi="Arial"/>
          <w:color w:val="000000"/>
          <w:sz w:val="24"/>
        </w:rPr>
        <w:t>La revisión del programa constituye otro resultado relevante. La mayoría de los estudiantes no aceptó pasivamente el producto generado. Diez de los doce participantes comprobaron la relación entre microcompetencia, actividades y evaluación; otros revisaron la viabilidad del trabajo autónomo, contrastaron contenidos con fuentes o solicitaron la opinión de otra persona. Solo un estudiante manifestó haber aceptado la propuesta sin revisión posterior.</w:t>
      </w:r>
    </w:p>
    <w:p w14:paraId="1E855CD1" w14:textId="77777777" w:rsidR="000C3AEA" w:rsidRDefault="00000000">
      <w:pPr>
        <w:spacing w:after="120" w:line="360" w:lineRule="auto"/>
        <w:ind w:firstLine="720"/>
      </w:pPr>
      <w:r>
        <w:rPr>
          <w:rFonts w:ascii="Arial" w:hAnsi="Arial"/>
          <w:color w:val="000000"/>
          <w:sz w:val="24"/>
        </w:rPr>
        <w:t>Este comportamiento resulta especialmente importante en el contexto actual de uso de inteligencia artificial generativa. Si la herramienta hubiese producido un programa que los estudiantes aceptaran sin análisis, sería más apropiado hablar de automatización que de andamiaje. La presencia de acciones de revisión y validación indica, por el contrario, que buena parte de los estudiantes mantuvo algún grado de control sobre el producto final.</w:t>
      </w:r>
    </w:p>
    <w:p w14:paraId="7D467C0A" w14:textId="77777777" w:rsidR="000C3AEA" w:rsidRDefault="00000000">
      <w:pPr>
        <w:spacing w:after="120" w:line="360" w:lineRule="auto"/>
        <w:ind w:firstLine="720"/>
      </w:pPr>
      <w:r>
        <w:rPr>
          <w:rFonts w:ascii="Arial" w:hAnsi="Arial"/>
          <w:color w:val="000000"/>
          <w:sz w:val="24"/>
        </w:rPr>
        <w:t>Desde el enfoque histórico-cultural asumido en este trabajo, esta diferencia es fundamental. La herramienta puede considerarse mediadora en la medida en que interviene entre el estudiante y una tarea que debe resolver, pero su valor formativo depende de que no elimine la actividad del sujeto. En este sentido, la revisión de la coherencia entre microcompetencia, actividades y evaluación constituye probablemente una de las evidencias más relevantes obtenidas en la experiencia, porque muestra que la interacción no concluyó necesariamente con la respuesta generada por la inteligencia artificial.</w:t>
      </w:r>
    </w:p>
    <w:p w14:paraId="14117BBB" w14:textId="77777777" w:rsidR="000C3AEA" w:rsidRDefault="00000000">
      <w:pPr>
        <w:spacing w:after="120" w:line="360" w:lineRule="auto"/>
        <w:ind w:firstLine="720"/>
      </w:pPr>
      <w:r>
        <w:rPr>
          <w:rFonts w:ascii="Arial" w:hAnsi="Arial"/>
          <w:color w:val="000000"/>
          <w:sz w:val="24"/>
        </w:rPr>
        <w:t xml:space="preserve">La autonomía alcanzada durante el proceso ofrece otro elemento de análisis. Nueve de los doce estudiantes desarrollaron la actividad sin ayuda externa o </w:t>
      </w:r>
      <w:r>
        <w:rPr>
          <w:rFonts w:ascii="Arial" w:hAnsi="Arial"/>
          <w:color w:val="000000"/>
          <w:sz w:val="24"/>
        </w:rPr>
        <w:lastRenderedPageBreak/>
        <w:t>requiriendo únicamente apoyos puntuales. El andamiaje no implica simplemente que el estudiante consiga terminar una tarea, sino que el apoyo facilite progresivamente una actuación más independiente. Por ello, los resultados permiten hablar de autonomía durante el uso de la herramienta, pero no todavía de transferencia de la autonomía hacia situaciones posteriores. Este aspecto constituye una diferencia importante entre demostrar que una herramienta facilita una tarea y demostrar que produce un proceso de apropiación o desarrollo.</w:t>
      </w:r>
    </w:p>
    <w:p w14:paraId="7DC45E37" w14:textId="77777777" w:rsidR="000C3AEA" w:rsidRDefault="00000000">
      <w:pPr>
        <w:spacing w:after="120" w:line="360" w:lineRule="auto"/>
        <w:ind w:firstLine="720"/>
      </w:pPr>
      <w:r>
        <w:rPr>
          <w:rFonts w:ascii="Arial" w:hAnsi="Arial"/>
          <w:color w:val="000000"/>
          <w:sz w:val="24"/>
        </w:rPr>
        <w:t>Esta limitación adquiere aún mayor relevancia considerando que todos los participantes utilizaron una skill por primera vez. Aunque habían trabajado previamente con inteligencia artificial, ninguno tenía experiencia con este tipo de estructura reutilizable y secuencial. El hecho de que la mayoría lograra avanzar con escaso apoyo externo puede considerarse un indicador favorable de usabilidad y orientación; al mismo tiempo, algunas dificultades encontradas podrían estar relacionadas con el efecto de novedad y no exclusivamente con defectos en el diseño de la skill.</w:t>
      </w:r>
    </w:p>
    <w:p w14:paraId="715F6767" w14:textId="77777777" w:rsidR="000C3AEA" w:rsidRDefault="00000000">
      <w:pPr>
        <w:spacing w:after="120" w:line="360" w:lineRule="auto"/>
        <w:ind w:firstLine="720"/>
      </w:pPr>
      <w:r>
        <w:rPr>
          <w:rFonts w:ascii="Arial" w:hAnsi="Arial"/>
          <w:color w:val="000000"/>
          <w:sz w:val="24"/>
        </w:rPr>
        <w:t>La primera experiencia con este tipo de herramienta introduce, por tanto, una doble interpretación. Por una parte, muestra que los estudiantes pudieron adaptarse con relativa rapidez a una forma de interacción diferente del prompt convencional. Por otra, impide determinar si los problemas de comprensión de algunas preguntas o la necesidad de ayuda disminuirían después de varias experiencias de uso.</w:t>
      </w:r>
    </w:p>
    <w:p w14:paraId="740ECB55" w14:textId="77777777" w:rsidR="000C3AEA" w:rsidRDefault="00000000">
      <w:pPr>
        <w:spacing w:after="120" w:line="360" w:lineRule="auto"/>
        <w:ind w:firstLine="720"/>
      </w:pPr>
      <w:r>
        <w:rPr>
          <w:rFonts w:ascii="Arial" w:hAnsi="Arial"/>
          <w:color w:val="000000"/>
          <w:sz w:val="24"/>
        </w:rPr>
        <w:t>Otro hallazgo que permite delimitar el alcance del posible andamiaje es la transición entre el programa producido y su implementación en Moodle. Esta fue la dimensión con menor valoración favorable, y varios estudiantes señalaron dificultades para adaptar el diseño a la plataforma. Este resultado muestra que el andamiaje proporcionado por la skill parece ser más consistente en la fase de diseño curricular que en la fase de implementación tecnológica.</w:t>
      </w:r>
    </w:p>
    <w:p w14:paraId="769B71E3" w14:textId="77777777" w:rsidR="000C3AEA" w:rsidRDefault="00000000">
      <w:pPr>
        <w:spacing w:after="120" w:line="360" w:lineRule="auto"/>
        <w:ind w:firstLine="720"/>
      </w:pPr>
      <w:r>
        <w:rPr>
          <w:rFonts w:ascii="Arial" w:hAnsi="Arial"/>
          <w:color w:val="000000"/>
          <w:sz w:val="24"/>
        </w:rPr>
        <w:t xml:space="preserve">Esta diferencia coincide con el propósito explícito con el que fue construida la herramienta. La skill está orientada a elaborar el programa pedagógico y mantiene Moodle como entorno de aprendizaje, seguimiento, entrega, retroalimentación y evaluación, pero excluye deliberadamente aspectos técnicos de administración y configuración. Por ello, la dificultad para trasladar el programa a Moodle no </w:t>
      </w:r>
      <w:r>
        <w:rPr>
          <w:rFonts w:ascii="Arial" w:hAnsi="Arial"/>
          <w:color w:val="000000"/>
          <w:sz w:val="24"/>
        </w:rPr>
        <w:lastRenderedPageBreak/>
        <w:t>necesariamente constituye un fallo de funcionamiento, sino que señala el límite actual del alcance de la herramienta. Como se señaló anteriormente implementar el curso en Moodle obedece a otra etapa.</w:t>
      </w:r>
    </w:p>
    <w:p w14:paraId="446D14F7" w14:textId="77777777" w:rsidR="000C3AEA" w:rsidRDefault="00000000">
      <w:pPr>
        <w:spacing w:after="120" w:line="360" w:lineRule="auto"/>
        <w:ind w:firstLine="720"/>
      </w:pPr>
      <w:r>
        <w:rPr>
          <w:rFonts w:ascii="Arial" w:hAnsi="Arial"/>
          <w:color w:val="000000"/>
          <w:sz w:val="24"/>
        </w:rPr>
        <w:t>No obstante, las sugerencias de los estudiantes indican que este límite podría ser revisado. Las propuestas de ampliar las alternativas de actividades y recursos de Moodle y de ofrecer mayor orientación durante la transferencia del diseño al aula virtual muestran la necesidad de conectar con mayor claridad el diseño pedagógico y su implementación.</w:t>
      </w:r>
    </w:p>
    <w:p w14:paraId="27CA192E" w14:textId="77777777" w:rsidR="000C3AEA" w:rsidRDefault="00000000">
      <w:pPr>
        <w:spacing w:after="120" w:line="360" w:lineRule="auto"/>
        <w:ind w:firstLine="720"/>
      </w:pPr>
      <w:r>
        <w:rPr>
          <w:rFonts w:ascii="Arial" w:hAnsi="Arial"/>
          <w:color w:val="000000"/>
          <w:sz w:val="24"/>
        </w:rPr>
        <w:t>Los resultados también permiten establecer una diferencia conceptual entre una skill y un generador convencional de prompts. En los generadores empleados anteriormente, el usuario completa información con el objetivo principal de obtener una instrucción que posteriormente será trasladada a un sistema de inteligencia artificial. En cambio, en la skill analizada la interacción se mantiene durante todo el proceso y el producto se construye progresivamente. Esta diferencia puede ser pedagógicamente relevante porque desplaza la atención desde la elaboración de una buena instrucción hacia la organización de una secuencia de decisiones.</w:t>
      </w:r>
    </w:p>
    <w:p w14:paraId="0F34BE33" w14:textId="77777777" w:rsidR="000C3AEA" w:rsidRDefault="00000000">
      <w:pPr>
        <w:spacing w:after="120" w:line="360" w:lineRule="auto"/>
        <w:ind w:firstLine="720"/>
      </w:pPr>
      <w:r>
        <w:rPr>
          <w:rFonts w:ascii="Arial" w:hAnsi="Arial"/>
          <w:color w:val="000000"/>
          <w:sz w:val="24"/>
        </w:rPr>
        <w:t>Sin embargo, los datos obtenidos no permiten afirmar que cualquier skill constituya por sí misma un andamiaje digital. Su condición de andamiaje depende de su diseño. Una skill que genere directamente un producto terminado o reduzca al mínimo la participación del usuario podría favorecer la automatización sin producir mediación pedagógicamente significativa. En este caso particular, la secuenciación, la posibilidad de modificar las propuestas, la revisión del producto y los niveles de autonomía observados proporcionan indicios compatibles con el concepto de andamiaje.</w:t>
      </w:r>
    </w:p>
    <w:p w14:paraId="75715EC0" w14:textId="77777777" w:rsidR="000C3AEA" w:rsidRDefault="00000000">
      <w:pPr>
        <w:spacing w:after="120" w:line="360" w:lineRule="auto"/>
        <w:ind w:firstLine="720"/>
      </w:pPr>
      <w:r>
        <w:rPr>
          <w:rFonts w:ascii="Arial" w:hAnsi="Arial"/>
          <w:color w:val="000000"/>
          <w:sz w:val="24"/>
        </w:rPr>
        <w:t xml:space="preserve">Al mismo tiempo, existen características clásicas del andamiaje que el presente estudio no permite comprobar plenamente. Entre ellas se encuentran el ajuste dinámico del nivel de ayuda a las necesidades particulares de cada estudiante, la retirada progresiva de los apoyos y la capacidad posterior del estudiante para ejecutar la tarea de manera independiente. La literatura sobre andamiaje computacional muestra, además, que estos mecanismos pueden adoptar formas diversas y que no todos los sistemas utilizan necesariamente procesos explícitos de retirada o incorporación </w:t>
      </w:r>
      <w:r>
        <w:rPr>
          <w:rFonts w:ascii="Arial" w:hAnsi="Arial"/>
          <w:color w:val="000000"/>
          <w:sz w:val="24"/>
        </w:rPr>
        <w:lastRenderedPageBreak/>
        <w:t>progresiva de ayudas.</w:t>
      </w:r>
    </w:p>
    <w:p w14:paraId="194CDCBF" w14:textId="77777777" w:rsidR="000C3AEA" w:rsidRDefault="00000000">
      <w:pPr>
        <w:spacing w:after="120" w:line="360" w:lineRule="auto"/>
        <w:ind w:firstLine="720"/>
      </w:pPr>
      <w:r>
        <w:rPr>
          <w:rFonts w:ascii="Arial" w:hAnsi="Arial"/>
          <w:color w:val="000000"/>
          <w:sz w:val="24"/>
        </w:rPr>
        <w:t>Por esta razón, sería más preciso concluir que la skill estudiada presenta características de andamiaje digital, antes que afirmar que constituye plenamente un andamiaje en el sentido clásico del término.</w:t>
      </w:r>
    </w:p>
    <w:p w14:paraId="34BD3B91" w14:textId="77777777" w:rsidR="000C3AEA" w:rsidRDefault="00000000">
      <w:pPr>
        <w:spacing w:after="120" w:line="360" w:lineRule="auto"/>
        <w:ind w:firstLine="720"/>
      </w:pPr>
      <w:r>
        <w:rPr>
          <w:rFonts w:ascii="Arial" w:hAnsi="Arial"/>
          <w:color w:val="000000"/>
          <w:sz w:val="24"/>
        </w:rPr>
        <w:t>El estudio posee además varias limitaciones. El número de participantes fue reducido, todos pertenecían a una misma asignatura, la experiencia se desarrolló en un contexto académico específico y se basó fundamentalmente en las percepciones declaradas mediante una encuesta. Tampoco se contó con grupo de comparación ni con una medición anterior y posterior de las capacidades de diseño de los participantes. A ello se añade que todos utilizaron una skill por primera vez y trabajaron desde sus cuentas personales de ChatGPT.</w:t>
      </w:r>
    </w:p>
    <w:p w14:paraId="5AA2FBA5" w14:textId="77777777" w:rsidR="000C3AEA" w:rsidRDefault="00000000">
      <w:pPr>
        <w:spacing w:after="120" w:line="360" w:lineRule="auto"/>
        <w:ind w:firstLine="720"/>
      </w:pPr>
      <w:r>
        <w:rPr>
          <w:rFonts w:ascii="Arial" w:hAnsi="Arial"/>
          <w:color w:val="000000"/>
          <w:sz w:val="24"/>
        </w:rPr>
        <w:t>Estas limitaciones impiden atribuir a la skill mejoras en las capacidades de diseño educativo. Lo que sí permiten los datos es identificar una forma de interacción con inteligencia artificial que difiere de la generación automática de un producto y que presenta rasgos vinculados con la orientación progresiva, la toma de decisiones, la revisión y la autonomía.</w:t>
      </w:r>
    </w:p>
    <w:p w14:paraId="399CDE34" w14:textId="77777777" w:rsidR="000C3AEA" w:rsidRDefault="00000000">
      <w:pPr>
        <w:pStyle w:val="Ttulo1"/>
        <w:keepNext/>
        <w:spacing w:before="240" w:after="120" w:line="360" w:lineRule="auto"/>
      </w:pPr>
      <w:r>
        <w:rPr>
          <w:rFonts w:ascii="Arial" w:hAnsi="Arial"/>
          <w:color w:val="000000"/>
          <w:sz w:val="24"/>
        </w:rPr>
        <w:t>Conclusiones y recomendaciones</w:t>
      </w:r>
    </w:p>
    <w:p w14:paraId="520554FE" w14:textId="77777777" w:rsidR="000C3AEA" w:rsidRDefault="00000000">
      <w:pPr>
        <w:spacing w:after="120" w:line="360" w:lineRule="auto"/>
        <w:ind w:firstLine="720"/>
      </w:pPr>
      <w:r>
        <w:rPr>
          <w:rFonts w:ascii="Arial" w:hAnsi="Arial"/>
          <w:color w:val="000000"/>
          <w:sz w:val="24"/>
        </w:rPr>
        <w:t>La skill «Diseñar cursos Tipo B en Moodle» presenta rasgos compatibles con el andamiaje digital, especialmente por la secuenciación de la tarea, la participación del usuario en las decisiones y la revisión del programa. Nueve de los doce participantes valoraron favorablemente la posibilidad de modificar las propuestas y diez declararon haber comprobado la relación entre microcompetencia, actividades y evaluación. Estos resultados apoyan una interpretación de la herramienta como orientación estructurada durante el diseño educativo.</w:t>
      </w:r>
    </w:p>
    <w:p w14:paraId="319A87E4" w14:textId="77777777" w:rsidR="000C3AEA" w:rsidRDefault="00000000">
      <w:pPr>
        <w:spacing w:after="120" w:line="360" w:lineRule="auto"/>
        <w:ind w:firstLine="720"/>
      </w:pPr>
      <w:r>
        <w:rPr>
          <w:rFonts w:ascii="Arial" w:hAnsi="Arial"/>
          <w:color w:val="000000"/>
          <w:sz w:val="24"/>
        </w:rPr>
        <w:t xml:space="preserve">La autonomía declarada durante el uso debe distinguirse del aprendizaje independiente posterior: nueve estudiantes trabajaron sin ayuda externa o con apoyo puntual, pero no se evaluó su desempeño en una nueva tarea sin la skill. Tampoco se comprobó plenamente el ajuste dinámico del apoyo, su retirada progresiva ni la transferencia de capacidades. El tamaño del grupo, los datos autoinformados y la </w:t>
      </w:r>
      <w:r>
        <w:rPr>
          <w:rFonts w:ascii="Arial" w:hAnsi="Arial"/>
          <w:color w:val="000000"/>
          <w:sz w:val="24"/>
        </w:rPr>
        <w:lastRenderedPageBreak/>
        <w:t>ausencia de comparación y de mediciones antes y después impiden atribuir mejoras de aprendizaje a la herramienta.</w:t>
      </w:r>
    </w:p>
    <w:p w14:paraId="105BF3B9" w14:textId="77777777" w:rsidR="000C3AEA" w:rsidRDefault="00000000">
      <w:pPr>
        <w:spacing w:after="120" w:line="360" w:lineRule="auto"/>
        <w:ind w:firstLine="720"/>
      </w:pPr>
      <w:r>
        <w:rPr>
          <w:rFonts w:ascii="Arial" w:hAnsi="Arial"/>
          <w:color w:val="000000"/>
          <w:sz w:val="24"/>
        </w:rPr>
        <w:t>Las dificultades de comprensión y de respuesta a las indicaciones del usuario muestran la necesidad de mejorar la claridad de las preguntas y la adaptación de las propuestas. La transición hacia Moodle requiere orientación complementaria, considerando que la skill estudiada se concentra en el programa pedagógico y que la implementación tecnológica corresponde a otra etapa.</w:t>
      </w:r>
    </w:p>
    <w:p w14:paraId="32A1B508" w14:textId="77777777" w:rsidR="000C3AEA" w:rsidRDefault="00000000">
      <w:pPr>
        <w:spacing w:after="120" w:line="360" w:lineRule="auto"/>
        <w:ind w:firstLine="720"/>
      </w:pPr>
      <w:r>
        <w:rPr>
          <w:rFonts w:ascii="Arial" w:hAnsi="Arial"/>
          <w:color w:val="000000"/>
          <w:sz w:val="24"/>
        </w:rPr>
        <w:t>En futuras experiencias sería conveniente comparar el diseño de cursos realizado mediante prompts convencionales con el realizado mediante una skill; analizar la calidad de los productos utilizando una rúbrica externa; observar las interacciones completas mantenidas con la herramienta; y comprobar si, después de trabajar con la skill, los estudiantes pueden desarrollar un nuevo programa con menor apoyo. Este último aspecto sería especialmente relevante para valorar si el apoyo proporcionado no solamente facilita la ejecución inmediata de la tarea, sino que contribuye a una progresiva apropiación del procedimiento.</w:t>
      </w:r>
    </w:p>
    <w:p w14:paraId="00AACFEC" w14:textId="77777777" w:rsidR="000C3AEA" w:rsidRDefault="00000000">
      <w:pPr>
        <w:spacing w:after="120" w:line="360" w:lineRule="auto"/>
        <w:ind w:firstLine="720"/>
      </w:pPr>
      <w:r>
        <w:rPr>
          <w:rFonts w:ascii="Arial" w:hAnsi="Arial"/>
          <w:color w:val="000000"/>
          <w:sz w:val="24"/>
        </w:rPr>
        <w:t>En conjunto, la experiencia sugiere que el valor educativo de una skill no reside principalmente en automatizar una tarea compleja, sino en la posibilidad de estructurar la interacción con la inteligencia artificial de manera que el usuario continúe tomando decisiones, revisando resultados y manteniendo control sobre el proceso. Bajo estas condiciones, las skills pueden constituir una vía prometedora para trasladar principios del andamiaje digital a nuevos entornos de inteligencia artificial generativa.</w:t>
      </w:r>
    </w:p>
    <w:p w14:paraId="33F7464F" w14:textId="77777777" w:rsidR="000C3AEA" w:rsidRDefault="00000000">
      <w:pPr>
        <w:pStyle w:val="Ttulo1"/>
        <w:keepNext/>
        <w:spacing w:before="240" w:after="120" w:line="360" w:lineRule="auto"/>
      </w:pPr>
      <w:r>
        <w:rPr>
          <w:rFonts w:ascii="Arial" w:hAnsi="Arial"/>
          <w:color w:val="000000"/>
          <w:sz w:val="24"/>
        </w:rPr>
        <w:t>Propuestas</w:t>
      </w:r>
    </w:p>
    <w:p w14:paraId="305119AC" w14:textId="77777777" w:rsidR="000C3AEA" w:rsidRDefault="00000000">
      <w:pPr>
        <w:spacing w:after="120" w:line="360" w:lineRule="auto"/>
        <w:ind w:firstLine="720"/>
      </w:pPr>
      <w:r>
        <w:rPr>
          <w:rFonts w:ascii="Arial" w:hAnsi="Arial"/>
          <w:color w:val="000000"/>
          <w:sz w:val="24"/>
        </w:rPr>
        <w:t>Se propone revisar las preguntas y hacer visibles las quince acciones del proceso, incorporar un diagnóstico inicial de necesidades y precisar el contexto institucional, las características de los participantes y el tiempo disponible. Asimismo, conviene ampliar las alternativas de actividades y recursos de Moodle e incorporar una revisión final de viabilidad del programa antes de su implementación.</w:t>
      </w:r>
    </w:p>
    <w:p w14:paraId="325299B7" w14:textId="77777777" w:rsidR="000C3AEA" w:rsidRDefault="00000000">
      <w:pPr>
        <w:spacing w:after="120" w:line="360" w:lineRule="auto"/>
        <w:ind w:firstLine="720"/>
      </w:pPr>
      <w:r>
        <w:rPr>
          <w:rFonts w:ascii="Arial" w:hAnsi="Arial"/>
          <w:color w:val="000000"/>
          <w:sz w:val="24"/>
        </w:rPr>
        <w:t xml:space="preserve">Como continuidad de la experiencia, se plantea desarrollar una orientación complementaria para trasladar el programa al aula virtual y valorar los productos </w:t>
      </w:r>
      <w:r>
        <w:rPr>
          <w:rFonts w:ascii="Arial" w:hAnsi="Arial"/>
          <w:color w:val="000000"/>
          <w:sz w:val="24"/>
        </w:rPr>
        <w:lastRenderedPageBreak/>
        <w:t>mediante una rúbrica externa. La evaluación de una nueva tarea con menor apoyo permitiría examinar la posible transferencia de autonomía; estas acciones constituyen propuestas de trabajo posterior y no resultados obtenidos en el estudio.</w:t>
      </w:r>
    </w:p>
    <w:p w14:paraId="25DFC27C" w14:textId="77777777" w:rsidR="000C3AEA" w:rsidRDefault="00000000">
      <w:pPr>
        <w:pStyle w:val="Ttulo1"/>
        <w:keepNext/>
        <w:spacing w:before="240" w:after="120" w:line="360" w:lineRule="auto"/>
      </w:pPr>
      <w:r>
        <w:rPr>
          <w:rFonts w:ascii="Arial" w:hAnsi="Arial"/>
          <w:color w:val="000000"/>
          <w:sz w:val="24"/>
        </w:rPr>
        <w:t>Material de referencia</w:t>
      </w:r>
    </w:p>
    <w:p w14:paraId="1434C556" w14:textId="77777777" w:rsidR="000C3AEA" w:rsidRDefault="00000000">
      <w:pPr>
        <w:pStyle w:val="Ttulo2"/>
        <w:keepNext/>
        <w:spacing w:before="240" w:after="120" w:line="360" w:lineRule="auto"/>
      </w:pPr>
      <w:r>
        <w:rPr>
          <w:color w:val="000000"/>
        </w:rPr>
        <w:t>Bibliografía</w:t>
      </w:r>
    </w:p>
    <w:p w14:paraId="47832B80" w14:textId="77777777" w:rsidR="000C3AEA" w:rsidRDefault="00000000">
      <w:pPr>
        <w:spacing w:after="120" w:line="360" w:lineRule="auto"/>
        <w:ind w:left="720" w:hanging="720"/>
      </w:pPr>
      <w:r>
        <w:rPr>
          <w:rFonts w:ascii="Arial" w:hAnsi="Arial"/>
          <w:color w:val="000000"/>
          <w:sz w:val="24"/>
        </w:rPr>
        <w:t>Belland, B. R., Walker, A. E., Kim, N. J., &amp; Lefler, M. (2017). Synthesizing results from empirical research on computer-based scaffolding in STEM education: A meta-analysis. Review of Educational Research, 87(2), 309–344. https://doi.org/10.3102/0034654316670999</w:t>
      </w:r>
    </w:p>
    <w:p w14:paraId="0E28B8FD" w14:textId="77777777" w:rsidR="000C3AEA" w:rsidRDefault="00000000">
      <w:pPr>
        <w:spacing w:after="120" w:line="360" w:lineRule="auto"/>
        <w:ind w:left="720" w:hanging="720"/>
      </w:pPr>
      <w:r>
        <w:rPr>
          <w:rFonts w:ascii="Arial" w:hAnsi="Arial"/>
          <w:color w:val="000000"/>
          <w:sz w:val="24"/>
        </w:rPr>
        <w:t>Vygotsky, L. S. (1978). Mind in society: The development of higher psychological processes (M. Cole, V. John-Steiner, S. Scribner, &amp; E. Souberman, Eds.). Harvard University Press.</w:t>
      </w:r>
    </w:p>
    <w:p w14:paraId="4B4D77DC" w14:textId="77777777" w:rsidR="000C3AEA" w:rsidRDefault="00000000">
      <w:pPr>
        <w:spacing w:after="120" w:line="360" w:lineRule="auto"/>
        <w:ind w:left="720" w:hanging="720"/>
      </w:pPr>
      <w:r>
        <w:rPr>
          <w:rFonts w:ascii="Arial" w:hAnsi="Arial"/>
          <w:color w:val="000000"/>
          <w:sz w:val="24"/>
        </w:rPr>
        <w:t>Wood, D., Bruner, J. S., &amp; Ross, G. (1976). The role of tutoring in problem solving. Journal of Child Psychology and Psychiatry, 17(2), 89–100. https://doi.org/10.1111/j.1469-7610.1976.tb00381.x</w:t>
      </w:r>
    </w:p>
    <w:p w14:paraId="75FC045E" w14:textId="77777777" w:rsidR="000C3AEA" w:rsidRDefault="00000000">
      <w:pPr>
        <w:pStyle w:val="Ttulo2"/>
        <w:keepNext/>
        <w:spacing w:before="240" w:after="120" w:line="360" w:lineRule="auto"/>
      </w:pPr>
      <w:r>
        <w:rPr>
          <w:color w:val="000000"/>
        </w:rPr>
        <w:t>Anexos</w:t>
      </w:r>
    </w:p>
    <w:p w14:paraId="604074FF" w14:textId="77777777" w:rsidR="000C3AEA" w:rsidRDefault="00000000">
      <w:pPr>
        <w:pStyle w:val="Ttulo2"/>
        <w:keepNext/>
        <w:spacing w:before="240" w:after="120" w:line="360" w:lineRule="auto"/>
      </w:pPr>
      <w:r>
        <w:rPr>
          <w:color w:val="000000"/>
        </w:rPr>
        <w:t>Anexo 1</w:t>
      </w:r>
    </w:p>
    <w:p w14:paraId="23D53560" w14:textId="77777777" w:rsidR="000C3AEA" w:rsidRDefault="00000000">
      <w:pPr>
        <w:pStyle w:val="Ttulo2"/>
        <w:keepNext/>
        <w:spacing w:before="240" w:after="120" w:line="360" w:lineRule="auto"/>
      </w:pPr>
      <w:r>
        <w:rPr>
          <w:color w:val="000000"/>
        </w:rPr>
        <w:t>Programa del curso Diseño instruccional para aulas virtuales</w:t>
      </w:r>
    </w:p>
    <w:p w14:paraId="456D7C71" w14:textId="77777777" w:rsidR="000C3AEA" w:rsidRDefault="000C3AEA">
      <w:pPr>
        <w:spacing w:after="120" w:line="360" w:lineRule="auto"/>
        <w:ind w:firstLine="720"/>
      </w:pPr>
    </w:p>
    <w:p w14:paraId="144BC95B" w14:textId="77777777" w:rsidR="000C3AEA" w:rsidRDefault="00000000">
      <w:pPr>
        <w:pStyle w:val="Ttulo2"/>
        <w:keepNext/>
        <w:spacing w:before="240" w:after="120" w:line="360" w:lineRule="auto"/>
      </w:pPr>
      <w:r>
        <w:rPr>
          <w:color w:val="000000"/>
        </w:rPr>
        <w:t>Anexo 2</w:t>
      </w:r>
    </w:p>
    <w:p w14:paraId="3A78546B" w14:textId="77777777" w:rsidR="000C3AEA" w:rsidRDefault="00000000">
      <w:pPr>
        <w:pStyle w:val="Ttulo2"/>
        <w:keepNext/>
        <w:spacing w:before="240" w:after="120" w:line="360" w:lineRule="auto"/>
      </w:pPr>
      <w:r>
        <w:rPr>
          <w:color w:val="000000"/>
        </w:rPr>
        <w:t>Cuestionario aplicado a los participantes</w:t>
      </w:r>
    </w:p>
    <w:p w14:paraId="354B54BA" w14:textId="77777777" w:rsidR="000C3AEA" w:rsidRDefault="000C3AEA">
      <w:pPr>
        <w:spacing w:after="120" w:line="360" w:lineRule="auto"/>
        <w:ind w:firstLine="720"/>
      </w:pPr>
    </w:p>
    <w:sectPr w:rsidR="000C3AEA">
      <w:headerReference w:type="first" r:id="rId7"/>
      <w:pgSz w:w="12240" w:h="15840"/>
      <w:pgMar w:top="1417" w:right="1417" w:bottom="1417" w:left="141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1022D" w14:textId="77777777" w:rsidR="00F352DA" w:rsidRDefault="00F352DA" w:rsidP="00BB03DD">
      <w:r>
        <w:separator/>
      </w:r>
    </w:p>
  </w:endnote>
  <w:endnote w:type="continuationSeparator" w:id="0">
    <w:p w14:paraId="6EB14DAE" w14:textId="77777777" w:rsidR="00F352DA" w:rsidRDefault="00F352DA" w:rsidP="00BB0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EBA39" w14:textId="77777777" w:rsidR="00F352DA" w:rsidRDefault="00F352DA" w:rsidP="00BB03DD">
      <w:r>
        <w:separator/>
      </w:r>
    </w:p>
  </w:footnote>
  <w:footnote w:type="continuationSeparator" w:id="0">
    <w:p w14:paraId="4CAE5B37" w14:textId="77777777" w:rsidR="00F352DA" w:rsidRDefault="00F352DA" w:rsidP="00BB03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BBC2A" w14:textId="77777777" w:rsidR="00BB03DD" w:rsidRDefault="00BB03DD">
    <w:pPr>
      <w:pStyle w:val="Encabezado"/>
    </w:pPr>
    <w:r>
      <w:rPr>
        <w:noProof/>
        <w:sz w:val="20"/>
      </w:rPr>
      <w:drawing>
        <wp:anchor distT="0" distB="0" distL="0" distR="0" simplePos="0" relativeHeight="251659264" behindDoc="1" locked="0" layoutInCell="1" allowOverlap="1" wp14:anchorId="408709B6" wp14:editId="0BCA2EFC">
          <wp:simplePos x="0" y="0"/>
          <wp:positionH relativeFrom="page">
            <wp:posOffset>-28575</wp:posOffset>
          </wp:positionH>
          <wp:positionV relativeFrom="page">
            <wp:posOffset>38100</wp:posOffset>
          </wp:positionV>
          <wp:extent cx="7734300" cy="9925050"/>
          <wp:effectExtent l="0" t="0" r="0" b="0"/>
          <wp:wrapNone/>
          <wp:docPr id="147417262"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7734300" cy="99250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76A"/>
    <w:rsid w:val="000A1AC4"/>
    <w:rsid w:val="000C3AEA"/>
    <w:rsid w:val="001059E5"/>
    <w:rsid w:val="00124387"/>
    <w:rsid w:val="00241129"/>
    <w:rsid w:val="003948E1"/>
    <w:rsid w:val="004B546F"/>
    <w:rsid w:val="004C2AD7"/>
    <w:rsid w:val="005058C4"/>
    <w:rsid w:val="006964BE"/>
    <w:rsid w:val="00BB03DD"/>
    <w:rsid w:val="00C812D2"/>
    <w:rsid w:val="00D5376A"/>
    <w:rsid w:val="00E162D2"/>
    <w:rsid w:val="00E34493"/>
    <w:rsid w:val="00E870F0"/>
    <w:rsid w:val="00F352DA"/>
    <w:rsid w:val="00FA3595"/>
    <w:rsid w:val="00FF186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E421D"/>
  <w15:docId w15:val="{B676612A-FDE1-43E7-920B-0E45583D6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1"/>
      <w:ind w:left="260"/>
      <w:outlineLvl w:val="0"/>
    </w:pPr>
    <w:rPr>
      <w:rFonts w:ascii="Calibri" w:eastAsia="Calibri" w:hAnsi="Calibri" w:cs="Calibri"/>
      <w:b/>
      <w:bCs/>
      <w:sz w:val="27"/>
      <w:szCs w:val="27"/>
    </w:rPr>
  </w:style>
  <w:style w:type="paragraph" w:styleId="Ttulo2">
    <w:name w:val="heading 2"/>
    <w:basedOn w:val="Normal"/>
    <w:uiPriority w:val="9"/>
    <w:unhideWhenUsed/>
    <w:qFormat/>
    <w:pPr>
      <w:ind w:left="260"/>
      <w:outlineLvl w:val="1"/>
    </w:pPr>
    <w:rPr>
      <w:rFonts w:ascii="Arial" w:eastAsia="Arial" w:hAnsi="Arial" w:cs="Arial"/>
      <w:b/>
      <w:bCs/>
      <w:sz w:val="24"/>
      <w:szCs w:val="24"/>
    </w:rPr>
  </w:style>
  <w:style w:type="paragraph" w:styleId="Ttulo3">
    <w:name w:val="heading 3"/>
    <w:basedOn w:val="Normal"/>
    <w:uiPriority w:val="9"/>
    <w:unhideWhenUsed/>
    <w:qFormat/>
    <w:pPr>
      <w:ind w:left="260"/>
      <w:outlineLvl w:val="2"/>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34"/>
    <w:qFormat/>
    <w:pPr>
      <w:ind w:left="981" w:hanging="360"/>
    </w:pPr>
  </w:style>
  <w:style w:type="paragraph" w:customStyle="1" w:styleId="TableParagraph">
    <w:name w:val="Table Paragraph"/>
    <w:basedOn w:val="Normal"/>
    <w:uiPriority w:val="1"/>
    <w:qFormat/>
    <w:pPr>
      <w:ind w:left="107"/>
    </w:pPr>
  </w:style>
  <w:style w:type="paragraph" w:styleId="Encabezado">
    <w:name w:val="header"/>
    <w:basedOn w:val="Normal"/>
    <w:link w:val="EncabezadoCar"/>
    <w:uiPriority w:val="99"/>
    <w:unhideWhenUsed/>
    <w:rsid w:val="00BB03DD"/>
    <w:pPr>
      <w:tabs>
        <w:tab w:val="center" w:pos="4252"/>
        <w:tab w:val="right" w:pos="8504"/>
      </w:tabs>
    </w:pPr>
  </w:style>
  <w:style w:type="character" w:customStyle="1" w:styleId="EncabezadoCar">
    <w:name w:val="Encabezado Car"/>
    <w:basedOn w:val="Fuentedeprrafopredeter"/>
    <w:link w:val="Encabezado"/>
    <w:uiPriority w:val="99"/>
    <w:rsid w:val="00BB03DD"/>
    <w:rPr>
      <w:rFonts w:ascii="Arial MT" w:eastAsia="Arial MT" w:hAnsi="Arial MT" w:cs="Arial MT"/>
      <w:lang w:val="es-ES"/>
    </w:rPr>
  </w:style>
  <w:style w:type="paragraph" w:styleId="Piedepgina">
    <w:name w:val="footer"/>
    <w:basedOn w:val="Normal"/>
    <w:link w:val="PiedepginaCar"/>
    <w:uiPriority w:val="99"/>
    <w:unhideWhenUsed/>
    <w:rsid w:val="00BB03DD"/>
    <w:pPr>
      <w:tabs>
        <w:tab w:val="center" w:pos="4252"/>
        <w:tab w:val="right" w:pos="8504"/>
      </w:tabs>
    </w:pPr>
  </w:style>
  <w:style w:type="character" w:customStyle="1" w:styleId="PiedepginaCar">
    <w:name w:val="Pie de página Car"/>
    <w:basedOn w:val="Fuentedeprrafopredeter"/>
    <w:link w:val="Piedepgina"/>
    <w:uiPriority w:val="99"/>
    <w:rsid w:val="00BB03DD"/>
    <w:rPr>
      <w:rFonts w:ascii="Arial MT" w:eastAsia="Arial MT" w:hAnsi="Arial MT" w:cs="Arial MT"/>
      <w:lang w:val="es-ES"/>
    </w:rPr>
  </w:style>
  <w:style w:type="table" w:styleId="Tablaconcuadrcula">
    <w:name w:val="Table Grid"/>
    <w:basedOn w:val="Tablanormal"/>
    <w:uiPriority w:val="39"/>
    <w:rsid w:val="00C812D2"/>
    <w:pPr>
      <w:widowControl/>
      <w:autoSpaceDE/>
      <w:autoSpaceDN/>
    </w:pPr>
    <w:rPr>
      <w:rFonts w:eastAsiaTheme="minorEastAsia"/>
      <w:lang w:val="es-BO" w:eastAsia="es-B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21</Pages>
  <Words>6656</Words>
  <Characters>36608</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camilagenovevamachicado@gmail.com</dc:creator>
  <cp:lastModifiedBy>Carlos Bravo Reyes</cp:lastModifiedBy>
  <cp:revision>3</cp:revision>
  <dcterms:created xsi:type="dcterms:W3CDTF">2026-04-20T18:00:00Z</dcterms:created>
  <dcterms:modified xsi:type="dcterms:W3CDTF">2026-10-21T02:01:00Z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Microsoft® Word LTSC</vt:lpwstr>
  </property>
  <property fmtid="{D5CDD505-2E9C-101B-9397-08002B2CF9AE}" pid="4" name="LastSaved">
    <vt:filetime>2026-04-09T00:00:00Z</vt:filetime>
  </property>
  <property fmtid="{D5CDD505-2E9C-101B-9397-08002B2CF9AE}" pid="5" name="Producer">
    <vt:lpwstr>Microsoft® Word LTSC</vt:lpwstr>
  </property>
</Properties>
</file>