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0AB4" w14:textId="77777777" w:rsidR="007B6584" w:rsidRDefault="00000000">
      <w:pPr>
        <w:spacing w:after="80"/>
        <w:jc w:val="center"/>
      </w:pPr>
      <w:r>
        <w:rPr>
          <w:b/>
          <w:bCs/>
          <w:sz w:val="28"/>
          <w:szCs w:val="28"/>
        </w:rPr>
        <w:t>Transport-Based Content Selection: An Inspectable, Manipulable Alternative to RAG</w:t>
      </w:r>
    </w:p>
    <w:p w14:paraId="740E57A1" w14:textId="77777777" w:rsidR="007B6584" w:rsidRDefault="00000000">
      <w:pPr>
        <w:spacing w:after="40"/>
        <w:jc w:val="center"/>
      </w:pPr>
      <w:r>
        <w:t>Chris Brew</w:t>
      </w:r>
    </w:p>
    <w:p w14:paraId="6544BD30" w14:textId="471BD31E" w:rsidR="007B6584" w:rsidRDefault="001121FD">
      <w:pPr>
        <w:spacing w:after="240"/>
        <w:jc w:val="center"/>
      </w:pPr>
      <w:r>
        <w:rPr>
          <w:i/>
          <w:iCs/>
          <w:sz w:val="22"/>
          <w:szCs w:val="22"/>
        </w:rPr>
        <w:t>The Ohio State University and LexisNexis Legal and Professional</w:t>
      </w:r>
    </w:p>
    <w:p w14:paraId="191AC477" w14:textId="77777777" w:rsidR="007B6584" w:rsidRDefault="00000000">
      <w:pPr>
        <w:spacing w:after="120"/>
        <w:jc w:val="center"/>
      </w:pPr>
      <w:r>
        <w:rPr>
          <w:b/>
          <w:bCs/>
        </w:rPr>
        <w:t>Abstract</w:t>
      </w:r>
    </w:p>
    <w:p w14:paraId="32EFBD88" w14:textId="77777777" w:rsidR="007B6584" w:rsidRDefault="00000000">
      <w:pPr>
        <w:spacing w:after="120"/>
      </w:pPr>
      <w:r>
        <w:t xml:space="preserve">Retrieval-Augmented Generation (RAG) selects document passages via embedding similarity, then feeds them to an LLM for synthesis. This pipeline is effective but opaque: the user cannot easily inspect </w:t>
      </w:r>
      <w:r>
        <w:rPr>
          <w:i/>
          <w:iCs/>
        </w:rPr>
        <w:t>why</w:t>
      </w:r>
      <w:r>
        <w:t xml:space="preserve"> a passage was selected, cannot manipulate the selection criteria without retraining embeddings, and cannot systematically explore how different editorial priorities produce different outputs. We present an alternative architecture in which passage selection is formulated as a min-cost flow (optimal transport) problem over passages enriched with structured metadata, making every selection decision inspectable, adjustable, and formally justified.</w:t>
      </w:r>
    </w:p>
    <w:p w14:paraId="3246DC01" w14:textId="77777777" w:rsidR="007B6584" w:rsidRDefault="00000000">
      <w:pPr>
        <w:spacing w:after="120"/>
      </w:pPr>
      <w:r>
        <w:t xml:space="preserve">Our system operates in four phases. First, an LLM enriches each source passage with a structured annotation schema (20 fields covering narrative function, thematic content, and literary technique). Second, a min-cost flow solver selects passages to satisfy demand profiles defined by configurable </w:t>
      </w:r>
      <w:r>
        <w:rPr>
          <w:i/>
          <w:iCs/>
        </w:rPr>
        <w:t>expert personas</w:t>
      </w:r>
      <w:r>
        <w:t xml:space="preserve"> — simulated analytical perspectives, each with explicit dimension demands, character arc requirements, and budget constraints. Third, a second transport problem assigns selected passages to episode segments, optimizing for narrative adjacency and thematic coherence. Finally, an LLM generates multi-voice discussion scripts from the assignments. Crucially, every passage’s route through the network — from source to expert to segment — is traceable, and the user can ask: </w:t>
      </w:r>
      <w:r>
        <w:rPr>
          <w:i/>
          <w:iCs/>
        </w:rPr>
        <w:t>why this passage, why this expert, why not that one?</w:t>
      </w:r>
      <w:r>
        <w:t xml:space="preserve"> The answer is always in the cost structure.</w:t>
      </w:r>
    </w:p>
    <w:p w14:paraId="6372E4C8" w14:textId="77777777" w:rsidR="007B6584" w:rsidRDefault="00000000">
      <w:pPr>
        <w:spacing w:after="120"/>
      </w:pPr>
      <w:r>
        <w:t xml:space="preserve">The key property is </w:t>
      </w:r>
      <w:r>
        <w:rPr>
          <w:b/>
          <w:bCs/>
        </w:rPr>
        <w:t>manipulability</w:t>
      </w:r>
      <w:r>
        <w:t xml:space="preserve">. Where RAG offers a single retrieval ranking, our system exposes a structured decision space: adjusting an expert’s demand vector, swapping one expert persona for another, raising the weight on a character arc, or tightening the redundancy penalty all produce predictable, interpretable changes in the output. We demonstrate this with 20 experimental configurations applied to a corpus of 6,916 enriched passages from Dickens’ </w:t>
      </w:r>
      <w:r>
        <w:rPr>
          <w:i/>
          <w:iCs/>
        </w:rPr>
        <w:t>Bleak House</w:t>
      </w:r>
      <w:r>
        <w:t>, generating multi-voice literary podcast scripts. Configurations vary expert panels (literary critic, social historian, close reader, performer, Marxist scholar, traditionalist), arc emphasis, and cost parameters.</w:t>
      </w:r>
    </w:p>
    <w:p w14:paraId="49BFC55E" w14:textId="77777777" w:rsidR="007B6584" w:rsidRDefault="00000000">
      <w:pPr>
        <w:spacing w:after="120"/>
      </w:pPr>
      <w:r>
        <w:t xml:space="preserve">Across the 20 variants, passage selection shows a mean pairwise Jaccard similarity of 0.521, with a stable core of 10 passages appearing in all configurations and substantial variant-specific selection driven by expert demands. To verify that structural differences in selection propagate to the generated text, we apply </w:t>
      </w:r>
      <w:proofErr w:type="spellStart"/>
      <w:r>
        <w:t>Kilgarriff</w:t>
      </w:r>
      <w:proofErr w:type="spellEnd"/>
      <w:r>
        <w:t xml:space="preserve">-style corpus comparison: log-likelihood keyword analysis and </w:t>
      </w:r>
      <w:proofErr w:type="spellStart"/>
      <w:r>
        <w:t>spaCy</w:t>
      </w:r>
      <w:proofErr w:type="spellEnd"/>
      <w:r>
        <w:t xml:space="preserve"> dependency-parsed grammatical relation sketches (word sketches) reveal that each expert panel configuration produces a distinctive lexical and syntactic fingerprint. Panels emphasizing social critique generate scripts dominated by systemic and institutional vocabulary; panels including a performer produce theatrical and comedic collocations; conservative panels yield morally weighted adjectival constructions. These are not surface-level keyword substitutions but genuine differences in analytical register, confirmed at the level of grammatical relations (subject–verb, adjective–noun, verb–object patterns).</w:t>
      </w:r>
    </w:p>
    <w:p w14:paraId="5D037286" w14:textId="77777777" w:rsidR="007B6584" w:rsidRDefault="00000000">
      <w:pPr>
        <w:spacing w:after="120"/>
      </w:pPr>
      <w:r>
        <w:t xml:space="preserve">The contribution is a document-grounded generation architecture where the editorial decision space is navigable rather than hidden. The system functions as what we term a </w:t>
      </w:r>
      <w:r>
        <w:rPr>
          <w:i/>
          <w:iCs/>
        </w:rPr>
        <w:t>telescope, not a painting</w:t>
      </w:r>
      <w:r>
        <w:t xml:space="preserve">: the value lies not in the generated artifact but in making the relationship between </w:t>
      </w:r>
      <w:r>
        <w:lastRenderedPageBreak/>
        <w:t xml:space="preserve">selection criteria and output visible, adjustable, and subject to systematic experimentation. While demonstrated on literary analysis, the architecture generalizes to any domain where documents must be selected and organized under explicit constraints — including legal document review, intelligence triage, and study guide generation, where the transport formulation’s </w:t>
      </w:r>
      <w:proofErr w:type="spellStart"/>
      <w:r>
        <w:t>inspectability</w:t>
      </w:r>
      <w:proofErr w:type="spellEnd"/>
      <w:r>
        <w:t xml:space="preserve"> has direct practical value.</w:t>
      </w:r>
    </w:p>
    <w:p w14:paraId="684D748A" w14:textId="77777777" w:rsidR="007B6584" w:rsidRDefault="00000000">
      <w:pPr>
        <w:spacing w:before="200"/>
      </w:pPr>
      <w:r>
        <w:rPr>
          <w:b/>
          <w:bCs/>
          <w:sz w:val="22"/>
          <w:szCs w:val="22"/>
        </w:rPr>
        <w:t xml:space="preserve">Keywords: </w:t>
      </w:r>
      <w:r>
        <w:rPr>
          <w:sz w:val="22"/>
          <w:szCs w:val="22"/>
        </w:rPr>
        <w:t>optimal transport, min-cost flow, retrieval-augmented generation, structured enrichment, corpus linguistics, manipulable AI systems, document-grounded generation</w:t>
      </w:r>
    </w:p>
    <w:sectPr w:rsidR="007B658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C46A7"/>
    <w:multiLevelType w:val="hybridMultilevel"/>
    <w:tmpl w:val="56DC8654"/>
    <w:lvl w:ilvl="0" w:tplc="DF22A208">
      <w:start w:val="1"/>
      <w:numFmt w:val="bullet"/>
      <w:lvlText w:val="●"/>
      <w:lvlJc w:val="left"/>
      <w:pPr>
        <w:ind w:left="720" w:hanging="360"/>
      </w:pPr>
    </w:lvl>
    <w:lvl w:ilvl="1" w:tplc="ADFADF5A">
      <w:start w:val="1"/>
      <w:numFmt w:val="bullet"/>
      <w:lvlText w:val="○"/>
      <w:lvlJc w:val="left"/>
      <w:pPr>
        <w:ind w:left="1440" w:hanging="360"/>
      </w:pPr>
    </w:lvl>
    <w:lvl w:ilvl="2" w:tplc="1778B898">
      <w:start w:val="1"/>
      <w:numFmt w:val="bullet"/>
      <w:lvlText w:val="■"/>
      <w:lvlJc w:val="left"/>
      <w:pPr>
        <w:ind w:left="2160" w:hanging="360"/>
      </w:pPr>
    </w:lvl>
    <w:lvl w:ilvl="3" w:tplc="20AA8D40">
      <w:start w:val="1"/>
      <w:numFmt w:val="bullet"/>
      <w:lvlText w:val="●"/>
      <w:lvlJc w:val="left"/>
      <w:pPr>
        <w:ind w:left="2880" w:hanging="360"/>
      </w:pPr>
    </w:lvl>
    <w:lvl w:ilvl="4" w:tplc="34FE5F7E">
      <w:start w:val="1"/>
      <w:numFmt w:val="bullet"/>
      <w:lvlText w:val="○"/>
      <w:lvlJc w:val="left"/>
      <w:pPr>
        <w:ind w:left="3600" w:hanging="360"/>
      </w:pPr>
    </w:lvl>
    <w:lvl w:ilvl="5" w:tplc="DC24154A">
      <w:start w:val="1"/>
      <w:numFmt w:val="bullet"/>
      <w:lvlText w:val="■"/>
      <w:lvlJc w:val="left"/>
      <w:pPr>
        <w:ind w:left="4320" w:hanging="360"/>
      </w:pPr>
    </w:lvl>
    <w:lvl w:ilvl="6" w:tplc="2D5C9866">
      <w:start w:val="1"/>
      <w:numFmt w:val="bullet"/>
      <w:lvlText w:val="●"/>
      <w:lvlJc w:val="left"/>
      <w:pPr>
        <w:ind w:left="5040" w:hanging="360"/>
      </w:pPr>
    </w:lvl>
    <w:lvl w:ilvl="7" w:tplc="FC563A78">
      <w:start w:val="1"/>
      <w:numFmt w:val="bullet"/>
      <w:lvlText w:val="●"/>
      <w:lvlJc w:val="left"/>
      <w:pPr>
        <w:ind w:left="5760" w:hanging="360"/>
      </w:pPr>
    </w:lvl>
    <w:lvl w:ilvl="8" w:tplc="5C38375A">
      <w:start w:val="1"/>
      <w:numFmt w:val="bullet"/>
      <w:lvlText w:val="●"/>
      <w:lvlJc w:val="left"/>
      <w:pPr>
        <w:ind w:left="6480" w:hanging="360"/>
      </w:pPr>
    </w:lvl>
  </w:abstractNum>
  <w:num w:numId="1" w16cid:durableId="1275139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584"/>
    <w:rsid w:val="001121FD"/>
    <w:rsid w:val="00747FD2"/>
    <w:rsid w:val="007B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49A27"/>
  <w15:docId w15:val="{359AF797-F55C-CC47-A6BA-52ECED80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Brew, Chris</cp:lastModifiedBy>
  <cp:revision>2</cp:revision>
  <dcterms:created xsi:type="dcterms:W3CDTF">2026-03-09T15:57:00Z</dcterms:created>
  <dcterms:modified xsi:type="dcterms:W3CDTF">2026-03-09T16:00:00Z</dcterms:modified>
</cp:coreProperties>
</file>