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Style w:val="Title"/>
      </w:pPr>
      <w:r>
        <w:t xml:space="preserve">Round 3: Stephen Fry and LLM-Designed Segments</w:t>
      </w:r>
    </w:p>
    <w:p>
      <w:pPr>
        <w:spacing w:after="160"/>
      </w:pPr>
      <w:r>
        <w:rPr>
          <w:rFonts w:ascii="Arial" w:cs="Arial" w:eastAsia="Arial" w:hAnsi="Arial"/>
          <w:color w:val="555555"/>
          <w:sz w:val="26"/>
          <w:szCs w:val="26"/>
        </w:rPr>
        <w:t xml:space="preserve">10 New Variants with Adaptive Episode Structure</w:t>
      </w:r>
    </w:p>
    <w:p>
      <w:pPr>
        <w:spacing w:before="600"/>
      </w:pPr>
    </w:p>
    <w:p>
      <w:pPr>
        <w:spacing w:after="160"/>
      </w:pPr>
      <w:r>
        <w:rPr>
          <w:rFonts w:ascii="Arial" w:cs="Arial" w:eastAsia="Arial" w:hAnsi="Arial"/>
          <w:i/>
          <w:iCs/>
          <w:color w:val="555555"/>
          <w:sz w:val="24"/>
          <w:szCs w:val="24"/>
        </w:rPr>
        <w:t xml:space="preserve">BleakHouse Podcast Pipeline</w:t>
      </w:r>
    </w:p>
    <w:p>
      <w:pPr>
        <w:spacing w:after="160"/>
      </w:pPr>
      <w:r>
        <w:rPr>
          <w:rFonts w:ascii="Arial" w:cs="Arial" w:eastAsia="Arial" w:hAnsi="Arial"/>
          <w:color w:val="555555"/>
          <w:sz w:val="22"/>
          <w:szCs w:val="22"/>
        </w:rPr>
        <w:t xml:space="preserve">March 2026</w:t>
      </w:r>
    </w:p>
    <w:p>
      <w:pPr>
        <w:spacing w:before="1800"/>
      </w:pPr>
    </w:p>
    <w:p>
      <w:pPr>
        <w:spacing w:after="160"/>
      </w:pPr>
      <w:r>
        <w:rPr>
          <w:i/>
          <w:iCs/>
          <w:color w:val="555555"/>
        </w:rPr>
        <w:t xml:space="preserve">New in this round: (1) Stephen Fry as a wildcard expert—performer and wit, demanding humor, atmosphere, and narrative technique. (2) LLM-designed segment structure (Haiku, ~4s) replaces hard-coded templates, so segment titles and expert assignments adapt to the panel.</w:t>
      </w:r>
    </w:p>
    <w:p>
      <w:pPr>
        <w:sectPr>
          <w:pgSz w:w="11906" w:h="16838" w:orient="portrait"/>
          <w:pgMar w:top="1440" w:right="1440" w:bottom="1440" w:left="1440" w:header="708" w:footer="708" w:gutter="0"/>
          <w:pgNumType/>
          <w:docGrid w:linePitch="360"/>
        </w:sectPr>
      </w:pPr>
    </w:p>
    <w:p>
      <w:pPr>
        <w:pStyle w:val="Heading1"/>
      </w:pPr>
      <w:r>
        <w:t xml:space="preserve">The New Expert: Stephen Fry</w:t>
      </w:r>
    </w:p>
    <w:p>
      <w:pPr>
        <w:spacing w:after="160"/>
      </w:pPr>
      <w:r>
        <w:t xml:space="preserve">Actor, writer, and the voice of more Dickens audiobooks than anyone alive. As a transport-level expert, Fry’s demand profile is unique: </w:t>
      </w:r>
      <w:r>
        <w:rPr>
          <w:rFonts w:ascii="Courier New" w:cs="Courier New" w:eastAsia="Courier New" w:hAnsi="Courier New"/>
          <w:sz w:val="20"/>
          <w:szCs w:val="20"/>
        </w:rPr>
        <w:t xml:space="preserve">humor_entertainment=3</w:t>
      </w:r>
      <w:r>
        <w:t xml:space="preserve">, </w:t>
      </w:r>
      <w:r>
        <w:rPr>
          <w:rFonts w:ascii="Courier New" w:cs="Courier New" w:eastAsia="Courier New" w:hAnsi="Courier New"/>
          <w:sz w:val="20"/>
          <w:szCs w:val="20"/>
        </w:rPr>
        <w:t xml:space="preserve">atmosphere_setting=2</w:t>
      </w:r>
      <w:r>
        <w:t xml:space="preserve">, </w:t>
      </w:r>
      <w:r>
        <w:rPr>
          <w:rFonts w:ascii="Courier New" w:cs="Courier New" w:eastAsia="Courier New" w:hAnsi="Courier New"/>
          <w:sz w:val="20"/>
          <w:szCs w:val="20"/>
        </w:rPr>
        <w:t xml:space="preserve">narrative_technique=2</w:t>
      </w:r>
      <w:r>
        <w:t xml:space="preserve">. He’s the only expert who leads with humor—a dimension that in baseline gets only 2 units of demand (from Woodcourt alone). Swapping Fry in raises humor demand by 50-150% depending on who he replaces.</w:t>
      </w:r>
    </w:p>
    <w:p>
      <w:pPr>
        <w:spacing w:after="160"/>
      </w:pPr>
      <w:r>
        <w:t xml:space="preserve">His </w:t>
      </w:r>
      <w:r>
        <w:rPr>
          <w:rFonts w:ascii="Courier New" w:cs="Courier New" w:eastAsia="Courier New" w:hAnsi="Courier New"/>
          <w:sz w:val="20"/>
          <w:szCs w:val="20"/>
        </w:rPr>
        <w:t xml:space="preserve">atmosphere_setting=2</w:t>
      </w:r>
      <w:r>
        <w:t xml:space="preserve"> also makes him the biggest atmosphere demander after Blackstone. And his </w:t>
      </w:r>
      <w:r>
        <w:rPr>
          <w:rFonts w:ascii="Courier New" w:cs="Courier New" w:eastAsia="Courier New" w:hAnsi="Courier New"/>
          <w:sz w:val="20"/>
          <w:szCs w:val="20"/>
        </w:rPr>
        <w:t xml:space="preserve">narrative_technique=2</w:t>
      </w:r>
      <w:r>
        <w:t xml:space="preserve"> duplicates Hartley’s craft interest. This overlap pattern—strong in entertainment, shared on atmosphere and craft—makes Fry a genuine wildcard: he reshapes every variant differently depending on who he displaces.</w:t>
      </w:r>
    </w:p>
    <w:p>
      <w:pPr>
        <w:pStyle w:val="Heading1"/>
      </w:pPr>
      <w:r>
        <w:t xml:space="preserve">Variant Overview</w:t>
      </w:r>
    </w:p>
    <w:p>
      <w:pPr>
        <w:spacing w:after="160"/>
      </w:p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700"/>
        <w:gridCol w:w="600"/>
        <w:gridCol w:w="900"/>
        <w:gridCol w:w="900"/>
        <w:gridCol w:w="900"/>
        <w:gridCol w:w="1500"/>
      </w:tblGrid>
      <w:tr>
        <w:trPr>
          <w:tblHeader/>
        </w:trPr>
        <w:tc>
          <w:tcPr>
            <w:tcW w:type="dxa" w:w="6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19"/>
                <w:szCs w:val="19"/>
              </w:rPr>
              <w:t xml:space="preserve">ID</w:t>
            </w:r>
          </w:p>
        </w:tc>
        <w:tc>
          <w:tcPr>
            <w:tcW w:type="dxa" w:w="24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19"/>
                <w:szCs w:val="19"/>
              </w:rPr>
              <w:t xml:space="preserve">Variant</w:t>
            </w:r>
          </w:p>
        </w:tc>
        <w:tc>
          <w:tcPr>
            <w:tcW w:type="dxa" w:w="7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19"/>
                <w:szCs w:val="19"/>
              </w:rPr>
              <w:t xml:space="preserve">Pass.</w:t>
            </w:r>
          </w:p>
        </w:tc>
        <w:tc>
          <w:tcPr>
            <w:tcW w:type="dxa" w:w="6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19"/>
                <w:szCs w:val="19"/>
              </w:rPr>
              <w:t xml:space="preserve">NULL</w:t>
            </w:r>
          </w:p>
        </w:tc>
        <w:tc>
          <w:tcPr>
            <w:tcW w:type="dxa" w:w="9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19"/>
                <w:szCs w:val="19"/>
              </w:rPr>
              <w:t xml:space="preserve">Segs</w:t>
            </w:r>
          </w:p>
        </w:tc>
        <w:tc>
          <w:tcPr>
            <w:tcW w:type="dxa" w:w="9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19"/>
                <w:szCs w:val="19"/>
              </w:rPr>
              <w:t xml:space="preserve">Full</w:t>
            </w:r>
          </w:p>
        </w:tc>
        <w:tc>
          <w:tcPr>
            <w:tcW w:type="dxa" w:w="9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19"/>
                <w:szCs w:val="19"/>
              </w:rPr>
              <w:t xml:space="preserve">Thin</w:t>
            </w:r>
          </w:p>
        </w:tc>
        <w:tc>
          <w:tcPr>
            <w:tcW w:type="dxa" w:w="15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19"/>
                <w:szCs w:val="19"/>
              </w:rPr>
              <w:t xml:space="preserve">Swaps</w:t>
            </w:r>
          </w:p>
        </w:tc>
      </w:tr>
      <w:tr>
        <w:tc>
          <w:tcPr>
            <w:tcW w:type="dxa" w:w="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V11</w:t>
            </w:r>
          </w:p>
        </w:tc>
        <w:tc>
          <w:tcPr>
            <w:tcW w:type="dxa" w:w="2400"/>
            <w:tcBorders>
              <w:top w:val="single" w:color="BBBBBB" w:sz="1"/>
              <w:left w:val="single" w:color="BBBBBB" w:sz="1"/>
              <w:bottom w:val="single" w:color="BBBBBB" w:sz="1"/>
              <w:right w:val="single" w:color="BBBBBB" w:sz="1"/>
            </w:tcBorders>
            <w:vAlign w:val="center"/>
          </w:tcPr>
          <w:p>
            <w:pPr>
              <w:spacing w:after="50" w:before="50"/>
              <w:jc w:val="left"/>
            </w:pPr>
            <w:r>
              <w:rPr>
                <w:rFonts w:ascii="Arial" w:cs="Arial" w:eastAsia="Arial" w:hAnsi="Arial"/>
                <w:sz w:val="20"/>
                <w:szCs w:val="20"/>
              </w:rPr>
              <w:t xml:space="preserve">Fry for Woodcourt</w:t>
            </w:r>
          </w:p>
        </w:tc>
        <w:tc>
          <w:tcPr>
            <w:tcW w:type="dxa" w:w="7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25</w:t>
            </w:r>
          </w:p>
        </w:tc>
        <w:tc>
          <w:tcPr>
            <w:tcW w:type="dxa" w:w="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5</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7</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6</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1</w:t>
            </w:r>
          </w:p>
        </w:tc>
        <w:tc>
          <w:tcPr>
            <w:tcW w:type="dxa" w:w="15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Fry←Wood</w:t>
            </w:r>
          </w:p>
        </w:tc>
      </w:tr>
      <w:tr>
        <w:tc>
          <w:tcPr>
            <w:tcW w:type="dxa" w:w="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V12</w:t>
            </w:r>
          </w:p>
        </w:tc>
        <w:tc>
          <w:tcPr>
            <w:tcW w:type="dxa" w:w="2400"/>
            <w:tcBorders>
              <w:top w:val="single" w:color="BBBBBB" w:sz="1"/>
              <w:left w:val="single" w:color="BBBBBB" w:sz="1"/>
              <w:bottom w:val="single" w:color="BBBBBB" w:sz="1"/>
              <w:right w:val="single" w:color="BBBBBB" w:sz="1"/>
            </w:tcBorders>
            <w:shd w:fill="F2F7FA" w:val="clear"/>
            <w:vAlign w:val="center"/>
          </w:tcPr>
          <w:p>
            <w:pPr>
              <w:spacing w:after="50" w:before="50"/>
              <w:jc w:val="left"/>
            </w:pPr>
            <w:r>
              <w:rPr>
                <w:rFonts w:ascii="Arial" w:cs="Arial" w:eastAsia="Arial" w:hAnsi="Arial"/>
                <w:sz w:val="20"/>
                <w:szCs w:val="20"/>
                <w:shd/>
              </w:rPr>
              <w:t xml:space="preserve">Fry for Hartley</w:t>
            </w:r>
          </w:p>
        </w:tc>
        <w:tc>
          <w:tcPr>
            <w:tcW w:type="dxa" w:w="7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27</w:t>
            </w:r>
          </w:p>
        </w:tc>
        <w:tc>
          <w:tcPr>
            <w:tcW w:type="dxa" w:w="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1</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7</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7</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0</w:t>
            </w:r>
          </w:p>
        </w:tc>
        <w:tc>
          <w:tcPr>
            <w:tcW w:type="dxa" w:w="15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Fry←Hart</w:t>
            </w:r>
          </w:p>
        </w:tc>
      </w:tr>
      <w:tr>
        <w:tc>
          <w:tcPr>
            <w:tcW w:type="dxa" w:w="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V13</w:t>
            </w:r>
          </w:p>
        </w:tc>
        <w:tc>
          <w:tcPr>
            <w:tcW w:type="dxa" w:w="2400"/>
            <w:tcBorders>
              <w:top w:val="single" w:color="BBBBBB" w:sz="1"/>
              <w:left w:val="single" w:color="BBBBBB" w:sz="1"/>
              <w:bottom w:val="single" w:color="BBBBBB" w:sz="1"/>
              <w:right w:val="single" w:color="BBBBBB" w:sz="1"/>
            </w:tcBorders>
            <w:vAlign w:val="center"/>
          </w:tcPr>
          <w:p>
            <w:pPr>
              <w:spacing w:after="50" w:before="50"/>
              <w:jc w:val="left"/>
            </w:pPr>
            <w:r>
              <w:rPr>
                <w:rFonts w:ascii="Arial" w:cs="Arial" w:eastAsia="Arial" w:hAnsi="Arial"/>
                <w:sz w:val="20"/>
                <w:szCs w:val="20"/>
              </w:rPr>
              <w:t xml:space="preserve">Fry for Blackstone</w:t>
            </w:r>
          </w:p>
        </w:tc>
        <w:tc>
          <w:tcPr>
            <w:tcW w:type="dxa" w:w="7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25</w:t>
            </w:r>
          </w:p>
        </w:tc>
        <w:tc>
          <w:tcPr>
            <w:tcW w:type="dxa" w:w="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4</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6</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6</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0</w:t>
            </w:r>
          </w:p>
        </w:tc>
        <w:tc>
          <w:tcPr>
            <w:tcW w:type="dxa" w:w="15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Fry←Black</w:t>
            </w:r>
          </w:p>
        </w:tc>
      </w:tr>
      <w:tr>
        <w:tc>
          <w:tcPr>
            <w:tcW w:type="dxa" w:w="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V14</w:t>
            </w:r>
          </w:p>
        </w:tc>
        <w:tc>
          <w:tcPr>
            <w:tcW w:type="dxa" w:w="2400"/>
            <w:tcBorders>
              <w:top w:val="single" w:color="BBBBBB" w:sz="1"/>
              <w:left w:val="single" w:color="BBBBBB" w:sz="1"/>
              <w:bottom w:val="single" w:color="BBBBBB" w:sz="1"/>
              <w:right w:val="single" w:color="BBBBBB" w:sz="1"/>
            </w:tcBorders>
            <w:shd w:fill="F2F7FA" w:val="clear"/>
            <w:vAlign w:val="center"/>
          </w:tcPr>
          <w:p>
            <w:pPr>
              <w:spacing w:after="50" w:before="50"/>
              <w:jc w:val="left"/>
            </w:pPr>
            <w:r>
              <w:rPr>
                <w:rFonts w:ascii="Arial" w:cs="Arial" w:eastAsia="Arial" w:hAnsi="Arial"/>
                <w:sz w:val="20"/>
                <w:szCs w:val="20"/>
                <w:shd/>
              </w:rPr>
              <w:t xml:space="preserve">Fry + Sir Edmund</w:t>
            </w:r>
          </w:p>
        </w:tc>
        <w:tc>
          <w:tcPr>
            <w:tcW w:type="dxa" w:w="7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28</w:t>
            </w:r>
          </w:p>
        </w:tc>
        <w:tc>
          <w:tcPr>
            <w:tcW w:type="dxa" w:w="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1</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7</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7</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0</w:t>
            </w:r>
          </w:p>
        </w:tc>
        <w:tc>
          <w:tcPr>
            <w:tcW w:type="dxa" w:w="15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Fry+Edmund</w:t>
            </w:r>
          </w:p>
        </w:tc>
      </w:tr>
      <w:tr>
        <w:tc>
          <w:tcPr>
            <w:tcW w:type="dxa" w:w="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V15</w:t>
            </w:r>
          </w:p>
        </w:tc>
        <w:tc>
          <w:tcPr>
            <w:tcW w:type="dxa" w:w="2400"/>
            <w:tcBorders>
              <w:top w:val="single" w:color="BBBBBB" w:sz="1"/>
              <w:left w:val="single" w:color="BBBBBB" w:sz="1"/>
              <w:bottom w:val="single" w:color="BBBBBB" w:sz="1"/>
              <w:right w:val="single" w:color="BBBBBB" w:sz="1"/>
            </w:tcBorders>
            <w:vAlign w:val="center"/>
          </w:tcPr>
          <w:p>
            <w:pPr>
              <w:spacing w:after="50" w:before="50"/>
              <w:jc w:val="left"/>
            </w:pPr>
            <w:r>
              <w:rPr>
                <w:rFonts w:ascii="Arial" w:cs="Arial" w:eastAsia="Arial" w:hAnsi="Arial"/>
                <w:sz w:val="20"/>
                <w:szCs w:val="20"/>
              </w:rPr>
              <w:t xml:space="preserve">Fry + Dr. Rosen</w:t>
            </w:r>
          </w:p>
        </w:tc>
        <w:tc>
          <w:tcPr>
            <w:tcW w:type="dxa" w:w="7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27</w:t>
            </w:r>
          </w:p>
        </w:tc>
        <w:tc>
          <w:tcPr>
            <w:tcW w:type="dxa" w:w="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3</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7</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7</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0</w:t>
            </w:r>
          </w:p>
        </w:tc>
        <w:tc>
          <w:tcPr>
            <w:tcW w:type="dxa" w:w="15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Fry+Rosen</w:t>
            </w:r>
          </w:p>
        </w:tc>
      </w:tr>
      <w:tr>
        <w:tc>
          <w:tcPr>
            <w:tcW w:type="dxa" w:w="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V16</w:t>
            </w:r>
          </w:p>
        </w:tc>
        <w:tc>
          <w:tcPr>
            <w:tcW w:type="dxa" w:w="2400"/>
            <w:tcBorders>
              <w:top w:val="single" w:color="BBBBBB" w:sz="1"/>
              <w:left w:val="single" w:color="BBBBBB" w:sz="1"/>
              <w:bottom w:val="single" w:color="BBBBBB" w:sz="1"/>
              <w:right w:val="single" w:color="BBBBBB" w:sz="1"/>
            </w:tcBorders>
            <w:shd w:fill="F2F7FA" w:val="clear"/>
            <w:vAlign w:val="center"/>
          </w:tcPr>
          <w:p>
            <w:pPr>
              <w:spacing w:after="50" w:before="50"/>
              <w:jc w:val="left"/>
            </w:pPr>
            <w:r>
              <w:rPr>
                <w:rFonts w:ascii="Arial" w:cs="Arial" w:eastAsia="Arial" w:hAnsi="Arial"/>
                <w:sz w:val="20"/>
                <w:szCs w:val="20"/>
                <w:shd/>
              </w:rPr>
              <w:t xml:space="preserve">All three swapped</w:t>
            </w:r>
          </w:p>
        </w:tc>
        <w:tc>
          <w:tcPr>
            <w:tcW w:type="dxa" w:w="7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31</w:t>
            </w:r>
          </w:p>
        </w:tc>
        <w:tc>
          <w:tcPr>
            <w:tcW w:type="dxa" w:w="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1</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7</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7</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0</w:t>
            </w:r>
          </w:p>
        </w:tc>
        <w:tc>
          <w:tcPr>
            <w:tcW w:type="dxa" w:w="15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Fry+Edm+Ros</w:t>
            </w:r>
          </w:p>
        </w:tc>
      </w:tr>
      <w:tr>
        <w:tc>
          <w:tcPr>
            <w:tcW w:type="dxa" w:w="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V17</w:t>
            </w:r>
          </w:p>
        </w:tc>
        <w:tc>
          <w:tcPr>
            <w:tcW w:type="dxa" w:w="2400"/>
            <w:tcBorders>
              <w:top w:val="single" w:color="BBBBBB" w:sz="1"/>
              <w:left w:val="single" w:color="BBBBBB" w:sz="1"/>
              <w:bottom w:val="single" w:color="BBBBBB" w:sz="1"/>
              <w:right w:val="single" w:color="BBBBBB" w:sz="1"/>
            </w:tcBorders>
            <w:vAlign w:val="center"/>
          </w:tcPr>
          <w:p>
            <w:pPr>
              <w:spacing w:after="50" w:before="50"/>
              <w:jc w:val="left"/>
            </w:pPr>
            <w:r>
              <w:rPr>
                <w:rFonts w:ascii="Arial" w:cs="Arial" w:eastAsia="Arial" w:hAnsi="Arial"/>
                <w:sz w:val="20"/>
                <w:szCs w:val="20"/>
              </w:rPr>
              <w:t xml:space="preserve">Fry + more Jo</w:t>
            </w:r>
          </w:p>
        </w:tc>
        <w:tc>
          <w:tcPr>
            <w:tcW w:type="dxa" w:w="7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29</w:t>
            </w:r>
          </w:p>
        </w:tc>
        <w:tc>
          <w:tcPr>
            <w:tcW w:type="dxa" w:w="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4</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7</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6</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1</w:t>
            </w:r>
          </w:p>
        </w:tc>
        <w:tc>
          <w:tcPr>
            <w:tcW w:type="dxa" w:w="15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Fry+Jo=8</w:t>
            </w:r>
          </w:p>
        </w:tc>
      </w:tr>
      <w:tr>
        <w:tc>
          <w:tcPr>
            <w:tcW w:type="dxa" w:w="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V18</w:t>
            </w:r>
          </w:p>
        </w:tc>
        <w:tc>
          <w:tcPr>
            <w:tcW w:type="dxa" w:w="2400"/>
            <w:tcBorders>
              <w:top w:val="single" w:color="BBBBBB" w:sz="1"/>
              <w:left w:val="single" w:color="BBBBBB" w:sz="1"/>
              <w:bottom w:val="single" w:color="BBBBBB" w:sz="1"/>
              <w:right w:val="single" w:color="BBBBBB" w:sz="1"/>
            </w:tcBorders>
            <w:shd w:fill="F2F7FA" w:val="clear"/>
            <w:vAlign w:val="center"/>
          </w:tcPr>
          <w:p>
            <w:pPr>
              <w:spacing w:after="50" w:before="50"/>
              <w:jc w:val="left"/>
            </w:pPr>
            <w:r>
              <w:rPr>
                <w:rFonts w:ascii="Arial" w:cs="Arial" w:eastAsia="Arial" w:hAnsi="Arial"/>
                <w:sz w:val="20"/>
                <w:szCs w:val="20"/>
                <w:shd/>
              </w:rPr>
              <w:t xml:space="preserve">Designed baseline</w:t>
            </w:r>
          </w:p>
        </w:tc>
        <w:tc>
          <w:tcPr>
            <w:tcW w:type="dxa" w:w="7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26</w:t>
            </w:r>
          </w:p>
        </w:tc>
        <w:tc>
          <w:tcPr>
            <w:tcW w:type="dxa" w:w="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3</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7</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7</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0</w:t>
            </w:r>
          </w:p>
        </w:tc>
        <w:tc>
          <w:tcPr>
            <w:tcW w:type="dxa" w:w="15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none</w:t>
            </w:r>
          </w:p>
        </w:tc>
      </w:tr>
      <w:tr>
        <w:tc>
          <w:tcPr>
            <w:tcW w:type="dxa" w:w="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V19</w:t>
            </w:r>
          </w:p>
        </w:tc>
        <w:tc>
          <w:tcPr>
            <w:tcW w:type="dxa" w:w="2400"/>
            <w:tcBorders>
              <w:top w:val="single" w:color="BBBBBB" w:sz="1"/>
              <w:left w:val="single" w:color="BBBBBB" w:sz="1"/>
              <w:bottom w:val="single" w:color="BBBBBB" w:sz="1"/>
              <w:right w:val="single" w:color="BBBBBB" w:sz="1"/>
            </w:tcBorders>
            <w:vAlign w:val="center"/>
          </w:tcPr>
          <w:p>
            <w:pPr>
              <w:spacing w:after="50" w:before="50"/>
              <w:jc w:val="left"/>
            </w:pPr>
            <w:r>
              <w:rPr>
                <w:rFonts w:ascii="Arial" w:cs="Arial" w:eastAsia="Arial" w:hAnsi="Arial"/>
                <w:sz w:val="20"/>
                <w:szCs w:val="20"/>
              </w:rPr>
              <w:t xml:space="preserve">Fry + high variety</w:t>
            </w:r>
          </w:p>
        </w:tc>
        <w:tc>
          <w:tcPr>
            <w:tcW w:type="dxa" w:w="7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26</w:t>
            </w:r>
          </w:p>
        </w:tc>
        <w:tc>
          <w:tcPr>
            <w:tcW w:type="dxa" w:w="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2</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7</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7</w:t>
            </w:r>
          </w:p>
        </w:tc>
        <w:tc>
          <w:tcPr>
            <w:tcW w:type="dxa" w:w="9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0</w:t>
            </w:r>
          </w:p>
        </w:tc>
        <w:tc>
          <w:tcPr>
            <w:tcW w:type="dxa" w:w="15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Fry+λ=30</w:t>
            </w:r>
          </w:p>
        </w:tc>
      </w:tr>
      <w:tr>
        <w:tc>
          <w:tcPr>
            <w:tcW w:type="dxa" w:w="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V20</w:t>
            </w:r>
          </w:p>
        </w:tc>
        <w:tc>
          <w:tcPr>
            <w:tcW w:type="dxa" w:w="2400"/>
            <w:tcBorders>
              <w:top w:val="single" w:color="BBBBBB" w:sz="1"/>
              <w:left w:val="single" w:color="BBBBBB" w:sz="1"/>
              <w:bottom w:val="single" w:color="BBBBBB" w:sz="1"/>
              <w:right w:val="single" w:color="BBBBBB" w:sz="1"/>
            </w:tcBorders>
            <w:shd w:fill="F2F7FA" w:val="clear"/>
            <w:vAlign w:val="center"/>
          </w:tcPr>
          <w:p>
            <w:pPr>
              <w:spacing w:after="50" w:before="50"/>
              <w:jc w:val="left"/>
            </w:pPr>
            <w:r>
              <w:rPr>
                <w:rFonts w:ascii="Arial" w:cs="Arial" w:eastAsia="Arial" w:hAnsi="Arial"/>
                <w:sz w:val="20"/>
                <w:szCs w:val="20"/>
                <w:shd/>
              </w:rPr>
              <w:t xml:space="preserve">Fry, no Dedlock</w:t>
            </w:r>
          </w:p>
        </w:tc>
        <w:tc>
          <w:tcPr>
            <w:tcW w:type="dxa" w:w="7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20</w:t>
            </w:r>
          </w:p>
        </w:tc>
        <w:tc>
          <w:tcPr>
            <w:tcW w:type="dxa" w:w="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9</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7</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5</w:t>
            </w:r>
          </w:p>
        </w:tc>
        <w:tc>
          <w:tcPr>
            <w:tcW w:type="dxa" w:w="9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2</w:t>
            </w:r>
          </w:p>
        </w:tc>
        <w:tc>
          <w:tcPr>
            <w:tcW w:type="dxa" w:w="15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Fry+Ded=0</w:t>
            </w:r>
          </w:p>
        </w:tc>
      </w:tr>
    </w:tbl>
    <w:p>
      <w:r>
        <w:br w:type="page"/>
      </w:r>
    </w:p>
    <w:p>
      <w:pPr>
        <w:pStyle w:val="Heading1"/>
      </w:pPr>
      <w:r>
        <w:t xml:space="preserve">Key Findings</w:t>
      </w:r>
    </w:p>
    <w:p>
      <w:pPr>
        <w:pStyle w:val="Heading2"/>
      </w:pPr>
      <w:r>
        <w:t xml:space="preserve">1. LLM segment design dramatically reduces NULL flow</w:t>
      </w:r>
    </w:p>
    <w:p>
      <w:pPr>
        <w:spacing w:after="160"/>
      </w:pPr>
      <w:r>
        <w:t xml:space="preserve">V18 (designed baseline) proves this cleanly: </w:t>
      </w:r>
      <w:r>
        <w:rPr>
          <w:b/>
          <w:bCs/>
        </w:rPr>
        <w:t xml:space="preserve">identical passages</w:t>
      </w:r>
      <w:r>
        <w:t xml:space="preserve">, zero parameter changes, but NULL flow dropped from 4 to 3 and every segment is FULL. The LLM-designed segments fit the available material because they were designed </w:t>
      </w:r>
      <w:r>
        <w:rPr>
          <w:i/>
          <w:iCs/>
        </w:rPr>
        <w:t xml:space="preserve">after seeing it</w:t>
      </w:r>
      <w:r>
        <w:t xml:space="preserve">. Hard-coded templates assume material will exist; designed templates know it does.</w:t>
      </w:r>
    </w:p>
    <w:p>
      <w:pPr>
        <w:spacing w:after="160"/>
      </w:pPr>
      <w:r>
        <w:t xml:space="preserve">Across all 10 variants, the median NULL flow is </w:t>
      </w:r>
      <w:r>
        <w:rPr>
          <w:b/>
          <w:bCs/>
        </w:rPr>
        <w:t xml:space="preserve">3</w:t>
      </w:r>
      <w:r>
        <w:t xml:space="preserve"> (vs 4 for baseline with hard-coded templates). V12, V14, and V16 achieved NULL=1—near-perfect filling—because the LLM sized segments to match actual supply.</w:t>
      </w:r>
    </w:p>
    <w:p>
      <w:pPr>
        <w:pStyle w:val="Heading2"/>
      </w:pPr>
      <w:r>
        <w:t xml:space="preserve">2. Fry is the strongest single-swap wildcard</w:t>
      </w:r>
    </w:p>
    <w:p>
      <w:pPr>
        <w:spacing w:after="160"/>
      </w:pPr>
      <w:r>
        <w:t xml:space="preserve">Compare the three single-Fry swaps:</w:t>
      </w:r>
    </w:p>
    <w:p>
      <w:pPr>
        <w:spacing w:after="160"/>
      </w:pPr>
      <w:r>
        <w:r>
          <w:rPr>
            <w:b/>
            <w:bCs/>
          </w:rPr>
          <w:t xml:space="preserve">V11 (Fry←Woodcourt): </w:t>
        </w:r>
        <w:r>
          <w:t xml:space="preserve">7 added, 8 removed. Loses Woodcourt’s close-reading intimacy; gains comedy and atmosphere. One thin segment.</w:t>
        </w:r>
      </w:r>
    </w:p>
    <w:p>
      <w:pPr>
        <w:spacing w:after="160"/>
      </w:pPr>
      <w:r>
        <w:r>
          <w:rPr>
            <w:b/>
            <w:bCs/>
          </w:rPr>
          <w:t xml:space="preserve">V12 (Fry←Hartley): </w:t>
        </w:r>
        <w:r>
          <w:t xml:space="preserve">4 added, 3 removed, 6 reassigned. The </w:t>
        </w:r>
        <w:r>
          <w:rPr>
            <w:i/>
            <w:iCs/>
          </w:rPr>
          <w:t xml:space="preserve">most efficient</w:t>
        </w:r>
        <w:r>
          <w:t xml:space="preserve"> single swap: NULL=1, all 7 segments full. Fry’s narrative_technique=2 partially covers Hartley’s loss.</w:t>
        </w:r>
      </w:r>
    </w:p>
    <w:p>
      <w:pPr>
        <w:spacing w:after="160"/>
      </w:pPr>
      <w:r>
        <w:r>
          <w:rPr>
            <w:b/>
            <w:bCs/>
          </w:rPr>
          <w:t xml:space="preserve">V13 (Fry←Blackstone): </w:t>
        </w:r>
        <w:r>
          <w:t xml:space="preserve">3 added, 4 removed, 4 reassigned. Social critique drops to 0 expert demand, but the LLM designs a Jo segment anyway—and it fills to 3 (vs 0 in V7 with hard-coded templates). </w:t>
        </w:r>
        <w:r>
          <w:rPr>
            <w:b/>
            <w:bCs/>
            <w:color w:val="C0392B"/>
          </w:rPr>
          <w:t xml:space="preserve">This is the strongest evidence that designed segments mitigate expert-loss damage.</w:t>
        </w:r>
      </w:r>
    </w:p>
    <w:p>
      <w:pPr>
        <w:pStyle w:val="Heading2"/>
      </w:pPr>
      <w:r>
        <w:t xml:space="preserve">3. V13 vs V7: designed segments rescue Jo’s Story</w:t>
      </w:r>
    </w:p>
    <w:p>
      <w:pPr>
        <w:spacing w:after="160"/>
      </w:pPr>
      <w:r>
        <w:t xml:space="preserve">V7 (Round 2) and V13 both swap Blackstone for a non-social-critique expert. With hard-coded templates, V7 emptied Jo’s Story to </w:t>
      </w:r>
      <w:r>
        <w:rPr>
          <w:b/>
          <w:bCs/>
          <w:color w:val="C0392B"/>
        </w:rPr>
        <w:t xml:space="preserve">0 passages</w:t>
      </w:r>
      <w:r>
        <w:t xml:space="preserve">. With LLM-designed segments, V13’s “Mud and Misery: Jo’s Testimony to a Broken Society” fills to </w:t>
      </w:r>
      <w:r>
        <w:rPr>
          <w:b/>
          <w:bCs/>
        </w:rPr>
        <w:t xml:space="preserve">3 passages</w:t>
      </w:r>
      <w:r>
        <w:t xml:space="preserve">. The LLM assigned Ms. Woodcourt as lead (she has empathy for Jo) and sized the segment to 3–5, matching what the arc demand can supply. The segment structure adapted to the panel rather than breaking against it.</w:t>
      </w:r>
    </w:p>
    <w:p>
      <w:pPr>
        <w:pStyle w:val="Heading2"/>
      </w:pPr>
      <w:r>
        <w:t xml:space="preserve">4. V16 (all swapped) is the richest variant ever</w:t>
      </w:r>
    </w:p>
    <w:p>
      <w:pPr>
        <w:spacing w:after="160"/>
      </w:pPr>
      <w:r>
        <w:rPr>
          <w:b/>
          <w:bCs/>
        </w:rPr>
        <w:t xml:space="preserve">31 passages</w:t>
      </w:r>
      <w:r>
        <w:t xml:space="preserve"> selected, </w:t>
      </w:r>
      <w:r>
        <w:rPr>
          <w:b/>
          <w:bCs/>
        </w:rPr>
        <w:t xml:space="preserve">NULL=1</w:t>
      </w:r>
      <w:r>
        <w:t xml:space="preserve">, 7 segments all full. Three completely new experts (Fry, Sir Edmund, Dr. Rosen) with non-overlapping demands create maximum total demand across all dimensions. The LLM designed segments that exploit all three: Fry leads comedy (“Dickens at His Most Ingenious”), Edmund leads character (“Richard Carstone’s Slow Collapse”), Rosen leads critique (“Jo’s Pain” and “The Machinery of Injustice”). This is the fullest, most balanced episode structure in 20 variants.</w:t>
      </w:r>
    </w:p>
    <w:p>
      <w:pPr>
        <w:pStyle w:val="Heading2"/>
      </w:pPr>
      <w:r>
        <w:t xml:space="preserve">5. Fry’s humor demand creates a reliable comedy segment</w:t>
      </w:r>
    </w:p>
    <w:p>
      <w:pPr>
        <w:spacing w:after="160"/>
      </w:pPr>
      <w:r>
        <w:t xml:space="preserve">In every Fry variant, the LLM designs a comedy/entertainment segment and assigns Fry as lead. The titles vary—“Comic Relief and Crushing Truths”, “Laughter in the Darkness”, “Wit in the Darkness”, “The Wit and Darkness of Dickens”—but the structural role is consistent. This segment always fills to 2–4 passages. In baseline (without Fry), there is no dedicated comedy segment; humor passages scatter across Dickens at His Best.</w:t>
      </w:r>
    </w:p>
    <w:p>
      <w:pPr>
        <w:pStyle w:val="Heading2"/>
      </w:pPr>
      <w:r>
        <w:t xml:space="preserve">6. Removing arcs still creates dead segments, even with designed templates</w:t>
      </w:r>
    </w:p>
    <w:p>
      <w:pPr>
        <w:spacing w:after="160"/>
      </w:pPr>
      <w:r>
        <w:t xml:space="preserve">V20 (Fry + no Dedlock) has </w:t>
      </w:r>
      <w:r>
        <w:rPr>
          <w:b/>
          <w:bCs/>
        </w:rPr>
        <w:t xml:space="preserve">NULL=9</w:t>
      </w:r>
      <w:r>
        <w:t xml:space="preserve"> and 2 thin segments—the worst fill rate in Round 3. The LLM designed segments without knowing Dedlock was removed (it sees Phase 1 results, which already lack Dedlock passages), yet still created segments that depend on character development and social critique dimensions that are now undersupplied. Arc removal is a harder problem than expert swaps: it reduces total passage count (20 vs baseline 26), leaving less material to distribute.</w:t>
      </w:r>
    </w:p>
    <w:p>
      <w:pPr>
        <w:pStyle w:val="Heading2"/>
      </w:pPr>
      <w:r>
        <w:t xml:space="preserve">7. V12 is the sweet spot: one swap, maximum effect</w:t>
      </w:r>
    </w:p>
    <w:p>
      <w:pPr>
        <w:spacing w:after="160"/>
      </w:pPr>
      <w:r>
        <w:t xml:space="preserve">Replacing Hartley with Fry (V12) produces the best single-swap outcome: 27 passages, NULL=1, all segments full, 6 reassigned passages (highest reassignment count in any single swap). Fry’s demand profile partially overlaps Hartley’s (both want narrative_technique), so the replacement is smooth. But Fry’s humor=3 creates new demand that Hartley never had, pulling comedy passages that were previously unselected. The result: a slightly larger, better-filled episode with a stronger entertainment dimension.</w:t>
      </w:r>
    </w:p>
    <w:p>
      <w:r>
        <w:br w:type="page"/>
      </w:r>
    </w:p>
    <w:p>
      <w:pPr>
        <w:pStyle w:val="Heading1"/>
      </w:pPr>
      <w:r>
        <w:t xml:space="preserve">Segment Design Quality</w:t>
      </w:r>
    </w:p>
    <w:p>
      <w:pPr>
        <w:spacing w:after="160"/>
      </w:pPr>
      <w:r>
        <w:t xml:space="preserve">The LLM (Haiku) consistently produces coherent segment structures. Key patterns:</w:t>
      </w:r>
    </w:p>
    <w:p>
      <w:pPr>
        <w:spacing w:after="160"/>
      </w:pPr>
      <w:r>
        <w:r>
          <w:rPr>
            <w:b/>
            <w:bCs/>
          </w:rPr>
          <w:t xml:space="preserve">Expert-aware assignment. </w:t>
        </w:r>
        <w:r>
          <w:t xml:space="preserve">Fry always leads the comedy segment. Rosen always leads the social critique deep dive. Edmund always leads the character study. The LLM correctly maps expert roles to segment types.</w:t>
        </w:r>
      </w:r>
    </w:p>
    <w:p>
      <w:pPr>
        <w:spacing w:after="160"/>
      </w:pPr>
      <w:r>
        <w:r>
          <w:rPr>
            <w:b/>
            <w:bCs/>
          </w:rPr>
          <w:t xml:space="preserve">Evocative Bleak House titles. </w:t>
        </w:r>
        <w:r>
          <w:t xml:space="preserve">Every variant gets titles specific to the novel: “The Fog of Chancery”, “Mud and Misery”, “The Machinery of Suffering”, “A Boy Cast Out”. No generic “Opening” or “Deep Dive 1”.</w:t>
        </w:r>
      </w:r>
    </w:p>
    <w:p>
      <w:pPr>
        <w:spacing w:after="160"/>
      </w:pPr>
      <w:r>
        <w:r>
          <w:rPr>
            <w:b/>
            <w:bCs/>
          </w:rPr>
          <w:t xml:space="preserve">Sensible sizing. </w:t>
        </w:r>
        <w:r>
          <w:t xml:space="preserve">Total max passages range 28–33, comfortably above actual passage counts (20–31). The LLM doesn’t over-allocate. Opening segments are always 2–3; deep dives 3–6; closing 2–4.</w:t>
        </w:r>
      </w:r>
    </w:p>
    <w:p>
      <w:pPr>
        <w:spacing w:after="160"/>
      </w:pPr>
      <w:r>
        <w:r>
          <w:rPr>
            <w:b/>
            <w:bCs/>
          </w:rPr>
          <w:t xml:space="preserve">One opening, one closing. </w:t>
        </w:r>
        <w:r>
          <w:t xml:space="preserve">The structural constraint held in all 10 variants. The LLM followed the system prompt’s instruction reliably.</w:t>
        </w:r>
      </w:r>
    </w:p>
    <w:p>
      <w:pPr>
        <w:spacing w:after="160"/>
      </w:pPr>
      <w:r>
        <w:r>
          <w:rPr>
            <w:b/>
            <w:bCs/>
          </w:rPr>
          <w:t xml:space="preserve">Cost: negligible. </w:t>
        </w:r>
        <w:r>
          <w:t xml:space="preserve">Each Haiku call took ~4 seconds and costs &lt;$0.01. The segment design step adds almost nothing to pipeline cost or latency.</w:t>
        </w:r>
      </w:r>
    </w:p>
    <w:p>
      <w:pPr>
        <w:pStyle w:val="Heading1"/>
      </w:pPr>
      <w:r>
        <w:t xml:space="preserve">Designed vs Hard-Coded Segments</w:t>
      </w:r>
    </w:p>
    <w:p>
      <w:pPr>
        <w:spacing w:after="160"/>
      </w:pPr>
      <w:r>
        <w:t xml:space="preserve">V18 isolates the effect of segment design: same passages, same experts, different segment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tblGrid>
      <w:tr>
        <w:trPr>
          <w:tblHeader/>
        </w:trPr>
        <w:tc>
          <w:tcPr>
            <w:tcW w:type="dxa" w:w="20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19"/>
                <w:szCs w:val="19"/>
              </w:rPr>
              <w:t xml:space="preserve">Metric</w:t>
            </w:r>
          </w:p>
        </w:tc>
        <w:tc>
          <w:tcPr>
            <w:tcW w:type="dxa" w:w="16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19"/>
                <w:szCs w:val="19"/>
              </w:rPr>
              <w:t xml:space="preserve">Baseline (hard-coded)</w:t>
            </w:r>
          </w:p>
        </w:tc>
        <w:tc>
          <w:tcPr>
            <w:tcW w:type="dxa" w:w="16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19"/>
                <w:szCs w:val="19"/>
              </w:rPr>
              <w:t xml:space="preserve">V18 (designed)</w:t>
            </w:r>
          </w:p>
        </w:tc>
        <w:tc>
          <w:tcPr>
            <w:tcW w:type="dxa" w:w="16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19"/>
                <w:szCs w:val="19"/>
              </w:rPr>
              <w:t xml:space="preserve">Delta</w:t>
            </w:r>
          </w:p>
        </w:tc>
        <w:tc>
          <w:tcPr>
            <w:tcW w:type="dxa" w:w="1600"/>
            <w:tcBorders>
              <w:top w:val="single" w:color="BBBBBB" w:sz="1"/>
              <w:left w:val="single" w:color="BBBBBB" w:sz="1"/>
              <w:bottom w:val="single" w:color="BBBBBB" w:sz="1"/>
              <w:right w:val="single" w:color="BBBBBB" w:sz="1"/>
            </w:tcBorders>
            <w:shd w:fill="D5E8F0" w:val="clear"/>
            <w:vAlign w:val="center"/>
          </w:tcPr>
          <w:p>
            <w:pPr>
              <w:jc w:val="center"/>
            </w:pPr>
            <w:r>
              <w:rPr>
                <w:rFonts w:ascii="Arial" w:cs="Arial" w:eastAsia="Arial" w:hAnsi="Arial"/>
                <w:b/>
                <w:bCs/>
                <w:sz w:val="19"/>
                <w:szCs w:val="19"/>
              </w:rPr>
              <w:t xml:space="preserve">Verdict</w:t>
            </w:r>
          </w:p>
        </w:tc>
      </w:tr>
      <w:tr>
        <w:tc>
          <w:tcPr>
            <w:tcW w:type="dxa" w:w="2000"/>
            <w:tcBorders>
              <w:top w:val="single" w:color="BBBBBB" w:sz="1"/>
              <w:left w:val="single" w:color="BBBBBB" w:sz="1"/>
              <w:bottom w:val="single" w:color="BBBBBB" w:sz="1"/>
              <w:right w:val="single" w:color="BBBBBB" w:sz="1"/>
            </w:tcBorders>
            <w:vAlign w:val="center"/>
          </w:tcPr>
          <w:p>
            <w:pPr>
              <w:spacing w:after="50" w:before="50"/>
              <w:jc w:val="left"/>
            </w:pPr>
            <w:r>
              <w:rPr>
                <w:rFonts w:ascii="Arial" w:cs="Arial" w:eastAsia="Arial" w:hAnsi="Arial"/>
                <w:b/>
                <w:bCs/>
                <w:sz w:val="20"/>
                <w:szCs w:val="20"/>
              </w:rPr>
              <w:t xml:space="preserve">Passages</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26</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26</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0</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Identical</w:t>
            </w:r>
          </w:p>
        </w:tc>
      </w:tr>
      <w:tr>
        <w:tc>
          <w:tcPr>
            <w:tcW w:type="dxa" w:w="2000"/>
            <w:tcBorders>
              <w:top w:val="single" w:color="BBBBBB" w:sz="1"/>
              <w:left w:val="single" w:color="BBBBBB" w:sz="1"/>
              <w:bottom w:val="single" w:color="BBBBBB" w:sz="1"/>
              <w:right w:val="single" w:color="BBBBBB" w:sz="1"/>
            </w:tcBorders>
            <w:shd w:fill="F2F7FA" w:val="clear"/>
            <w:vAlign w:val="center"/>
          </w:tcPr>
          <w:p>
            <w:pPr>
              <w:spacing w:after="50" w:before="50"/>
              <w:jc w:val="left"/>
            </w:pPr>
            <w:r>
              <w:rPr>
                <w:rFonts w:ascii="Arial" w:cs="Arial" w:eastAsia="Arial" w:hAnsi="Arial"/>
                <w:b/>
                <w:bCs/>
                <w:sz w:val="20"/>
                <w:szCs w:val="20"/>
                <w:shd/>
              </w:rPr>
              <w:t xml:space="preserve">NULL flow</w:t>
            </w:r>
          </w:p>
        </w:tc>
        <w:tc>
          <w:tcPr>
            <w:tcW w:type="dxa" w:w="1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4</w:t>
            </w:r>
          </w:p>
        </w:tc>
        <w:tc>
          <w:tcPr>
            <w:tcW w:type="dxa" w:w="1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3</w:t>
            </w:r>
          </w:p>
        </w:tc>
        <w:tc>
          <w:tcPr>
            <w:tcW w:type="dxa" w:w="1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−1</w:t>
            </w:r>
          </w:p>
        </w:tc>
        <w:tc>
          <w:tcPr>
            <w:tcW w:type="dxa" w:w="1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Better fill</w:t>
            </w:r>
          </w:p>
        </w:tc>
      </w:tr>
      <w:tr>
        <w:tc>
          <w:tcPr>
            <w:tcW w:type="dxa" w:w="2000"/>
            <w:tcBorders>
              <w:top w:val="single" w:color="BBBBBB" w:sz="1"/>
              <w:left w:val="single" w:color="BBBBBB" w:sz="1"/>
              <w:bottom w:val="single" w:color="BBBBBB" w:sz="1"/>
              <w:right w:val="single" w:color="BBBBBB" w:sz="1"/>
            </w:tcBorders>
            <w:vAlign w:val="center"/>
          </w:tcPr>
          <w:p>
            <w:pPr>
              <w:spacing w:after="50" w:before="50"/>
              <w:jc w:val="left"/>
            </w:pPr>
            <w:r>
              <w:rPr>
                <w:rFonts w:ascii="Arial" w:cs="Arial" w:eastAsia="Arial" w:hAnsi="Arial"/>
                <w:b/>
                <w:bCs/>
                <w:sz w:val="20"/>
                <w:szCs w:val="20"/>
              </w:rPr>
              <w:t xml:space="preserve">Full segments</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5/7</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7/7</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+2</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All full</w:t>
            </w:r>
          </w:p>
        </w:tc>
      </w:tr>
      <w:tr>
        <w:tc>
          <w:tcPr>
            <w:tcW w:type="dxa" w:w="2000"/>
            <w:tcBorders>
              <w:top w:val="single" w:color="BBBBBB" w:sz="1"/>
              <w:left w:val="single" w:color="BBBBBB" w:sz="1"/>
              <w:bottom w:val="single" w:color="BBBBBB" w:sz="1"/>
              <w:right w:val="single" w:color="BBBBBB" w:sz="1"/>
            </w:tcBorders>
            <w:shd w:fill="F2F7FA" w:val="clear"/>
            <w:vAlign w:val="center"/>
          </w:tcPr>
          <w:p>
            <w:pPr>
              <w:spacing w:after="50" w:before="50"/>
              <w:jc w:val="left"/>
            </w:pPr>
            <w:r>
              <w:rPr>
                <w:rFonts w:ascii="Arial" w:cs="Arial" w:eastAsia="Arial" w:hAnsi="Arial"/>
                <w:b/>
                <w:bCs/>
                <w:sz w:val="20"/>
                <w:szCs w:val="20"/>
                <w:shd/>
              </w:rPr>
              <w:t xml:space="preserve">Jo’s Story</w:t>
            </w:r>
          </w:p>
        </w:tc>
        <w:tc>
          <w:tcPr>
            <w:tcW w:type="dxa" w:w="1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1 passage</w:t>
            </w:r>
          </w:p>
        </w:tc>
        <w:tc>
          <w:tcPr>
            <w:tcW w:type="dxa" w:w="1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5 passages</w:t>
            </w:r>
          </w:p>
        </w:tc>
        <w:tc>
          <w:tcPr>
            <w:tcW w:type="dxa" w:w="1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+4</w:t>
            </w:r>
          </w:p>
        </w:tc>
        <w:tc>
          <w:tcPr>
            <w:tcW w:type="dxa" w:w="1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Major gain</w:t>
            </w:r>
          </w:p>
        </w:tc>
      </w:tr>
      <w:tr>
        <w:tc>
          <w:tcPr>
            <w:tcW w:type="dxa" w:w="2000"/>
            <w:tcBorders>
              <w:top w:val="single" w:color="BBBBBB" w:sz="1"/>
              <w:left w:val="single" w:color="BBBBBB" w:sz="1"/>
              <w:bottom w:val="single" w:color="BBBBBB" w:sz="1"/>
              <w:right w:val="single" w:color="BBBBBB" w:sz="1"/>
            </w:tcBorders>
            <w:vAlign w:val="center"/>
          </w:tcPr>
          <w:p>
            <w:pPr>
              <w:spacing w:after="50" w:before="50"/>
              <w:jc w:val="left"/>
            </w:pPr>
            <w:r>
              <w:rPr>
                <w:rFonts w:ascii="Arial" w:cs="Arial" w:eastAsia="Arial" w:hAnsi="Arial"/>
                <w:b/>
                <w:bCs/>
                <w:sz w:val="20"/>
                <w:szCs w:val="20"/>
              </w:rPr>
              <w:t xml:space="preserve">Closing</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3 passages</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3 passages</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0</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Same</w:t>
            </w:r>
          </w:p>
        </w:tc>
      </w:tr>
      <w:tr>
        <w:tc>
          <w:tcPr>
            <w:tcW w:type="dxa" w:w="2000"/>
            <w:tcBorders>
              <w:top w:val="single" w:color="BBBBBB" w:sz="1"/>
              <w:left w:val="single" w:color="BBBBBB" w:sz="1"/>
              <w:bottom w:val="single" w:color="BBBBBB" w:sz="1"/>
              <w:right w:val="single" w:color="BBBBBB" w:sz="1"/>
            </w:tcBorders>
            <w:shd w:fill="F2F7FA" w:val="clear"/>
            <w:vAlign w:val="center"/>
          </w:tcPr>
          <w:p>
            <w:pPr>
              <w:spacing w:after="50" w:before="50"/>
              <w:jc w:val="left"/>
            </w:pPr>
            <w:r>
              <w:rPr>
                <w:rFonts w:ascii="Arial" w:cs="Arial" w:eastAsia="Arial" w:hAnsi="Arial"/>
                <w:b/>
                <w:bCs/>
                <w:sz w:val="20"/>
                <w:szCs w:val="20"/>
                <w:shd/>
              </w:rPr>
              <w:t xml:space="preserve">Seg. design cost</w:t>
            </w:r>
          </w:p>
        </w:tc>
        <w:tc>
          <w:tcPr>
            <w:tcW w:type="dxa" w:w="1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$0</w:t>
            </w:r>
          </w:p>
        </w:tc>
        <w:tc>
          <w:tcPr>
            <w:tcW w:type="dxa" w:w="1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&lt;$0.01</w:t>
            </w:r>
          </w:p>
        </w:tc>
        <w:tc>
          <w:tcPr>
            <w:tcW w:type="dxa" w:w="1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+ε</w:t>
            </w:r>
          </w:p>
        </w:tc>
        <w:tc>
          <w:tcPr>
            <w:tcW w:type="dxa" w:w="1600"/>
            <w:tcBorders>
              <w:top w:val="single" w:color="BBBBBB" w:sz="1"/>
              <w:left w:val="single" w:color="BBBBBB" w:sz="1"/>
              <w:bottom w:val="single" w:color="BBBBBB" w:sz="1"/>
              <w:right w:val="single" w:color="BBBBBB" w:sz="1"/>
            </w:tcBorders>
            <w:shd w:fill="F2F7FA" w:val="clear"/>
            <w:vAlign w:val="center"/>
          </w:tcPr>
          <w:p>
            <w:pPr>
              <w:spacing w:after="50" w:before="50"/>
              <w:jc w:val="center"/>
            </w:pPr>
            <w:r>
              <w:rPr>
                <w:rFonts w:ascii="Arial" w:cs="Arial" w:eastAsia="Arial" w:hAnsi="Arial"/>
                <w:sz w:val="20"/>
                <w:szCs w:val="20"/>
                <w:shd/>
              </w:rPr>
              <w:t xml:space="preserve">Negligible</w:t>
            </w:r>
          </w:p>
        </w:tc>
      </w:tr>
      <w:tr>
        <w:tc>
          <w:tcPr>
            <w:tcW w:type="dxa" w:w="2000"/>
            <w:tcBorders>
              <w:top w:val="single" w:color="BBBBBB" w:sz="1"/>
              <w:left w:val="single" w:color="BBBBBB" w:sz="1"/>
              <w:bottom w:val="single" w:color="BBBBBB" w:sz="1"/>
              <w:right w:val="single" w:color="BBBBBB" w:sz="1"/>
            </w:tcBorders>
            <w:vAlign w:val="center"/>
          </w:tcPr>
          <w:p>
            <w:pPr>
              <w:spacing w:after="50" w:before="50"/>
              <w:jc w:val="left"/>
            </w:pPr>
            <w:r>
              <w:rPr>
                <w:rFonts w:ascii="Arial" w:cs="Arial" w:eastAsia="Arial" w:hAnsi="Arial"/>
                <w:b/>
                <w:bCs/>
                <w:sz w:val="20"/>
                <w:szCs w:val="20"/>
              </w:rPr>
              <w:t xml:space="preserve">Seg. design time</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0s</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~4s</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+4s</w:t>
            </w:r>
          </w:p>
        </w:tc>
        <w:tc>
          <w:tcPr>
            <w:tcW w:type="dxa" w:w="1600"/>
            <w:tcBorders>
              <w:top w:val="single" w:color="BBBBBB" w:sz="1"/>
              <w:left w:val="single" w:color="BBBBBB" w:sz="1"/>
              <w:bottom w:val="single" w:color="BBBBBB" w:sz="1"/>
              <w:right w:val="single" w:color="BBBBBB" w:sz="1"/>
            </w:tcBorders>
            <w:vAlign w:val="center"/>
          </w:tcPr>
          <w:p>
            <w:pPr>
              <w:spacing w:after="50" w:before="50"/>
              <w:jc w:val="center"/>
            </w:pPr>
            <w:r>
              <w:rPr>
                <w:rFonts w:ascii="Arial" w:cs="Arial" w:eastAsia="Arial" w:hAnsi="Arial"/>
                <w:sz w:val="20"/>
                <w:szCs w:val="20"/>
              </w:rPr>
              <w:t xml:space="preserve">Negligible</w:t>
            </w:r>
          </w:p>
        </w:tc>
      </w:tr>
    </w:tbl>
    <w:p>
      <w:r>
        <w:br w:type="page"/>
      </w:r>
    </w:p>
    <w:p>
      <w:pPr>
        <w:pStyle w:val="Heading1"/>
      </w:pPr>
      <w:r>
        <w:t xml:space="preserve">Cumulative Insights (Rounds 1–3)</w:t>
      </w:r>
    </w:p>
    <w:p>
      <w:pPr>
        <w:spacing w:after="160"/>
      </w:pPr>
      <w:r>
        <w:r>
          <w:rPr>
            <w:b/>
            <w:bCs/>
          </w:rPr>
          <w:t xml:space="preserve">The segment design step should be default. </w:t>
        </w:r>
        <w:r>
          <w:t xml:space="preserve">LLM-designed segments are strictly better than hard-coded templates: they adapt to the panel, they reduce NULL flow, they produce evocative titles, and they cost nothing. There is no reason to use hard-coded templates except for backward compatibility testing.</w:t>
        </w:r>
      </w:r>
    </w:p>
    <w:p>
      <w:pPr>
        <w:spacing w:after="160"/>
      </w:pPr>
      <w:r>
        <w:r>
          <w:rPr>
            <w:b/>
            <w:bCs/>
          </w:rPr>
          <w:t xml:space="preserve">Wildcard experts reveal pipeline flexibility. </w:t>
        </w:r>
        <w:r>
          <w:t xml:space="preserve">Stephen Fry’s humor-first demand profile is unlike any original expert. The transport solver handles it without modification. The segment designer creates appropriate comedy segments. The pipeline is expert-agnostic—any well-defined demand profile works.</w:t>
        </w:r>
      </w:r>
    </w:p>
    <w:p>
      <w:pPr>
        <w:spacing w:after="160"/>
      </w:pPr>
      <w:r>
        <w:r>
          <w:rPr>
            <w:b/>
            <w:bCs/>
          </w:rPr>
          <w:t xml:space="preserve">The pipeline’s editorial grammar is now clear. </w:t>
        </w:r>
        <w:r>
          <w:t xml:space="preserve">After 20 variants, the system’s levers are well-understood: arc demands control storyline presence (surgical), expert demands control dimension emphasis (cascading), cost parameters control passage quality (reshaping), expert swaps control editorial perspective (structural), and segment design controls episode framing (adaptive). A producer can compose these freely.</w:t>
        </w:r>
      </w:r>
    </w:p>
    <w:p>
      <w:pPr>
        <w:spacing w:after="160"/>
      </w:pPr>
      <w:r>
        <w:r>
          <w:rPr>
            <w:b/>
            <w:bCs/>
          </w:rPr>
          <w:t xml:space="preserve">Total cost for 20 variants: ~$0.10 and ~3 minutes. </w:t>
        </w:r>
        <w:r>
          <w:t xml:space="preserve">Rounds 1–2 (10 variants) used zero LLM calls. Round 3 (10 variants) added one Haiku call each. The entire experimental programme cost less than a single Phase 3 generation run. This is the core value proposition: </w:t>
        </w:r>
        <w:r>
          <w:rPr>
            <w:b/>
            <w:bCs/>
            <w:color w:val="C0392B"/>
          </w:rPr>
          <w:t xml:space="preserve">iterate on structure for pennies, generate scripts once.</w:t>
        </w:r>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BleakHouse — Round 3 Variants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before="0"/>
      <w:jc w:val="left"/>
    </w:pPr>
    <w:rPr>
      <w:rFonts w:ascii="Arial" w:cs="Arial" w:eastAsia="Arial" w:hAnsi="Arial"/>
      <w:b/>
      <w:bCs/>
      <w:color w:val="1B2A4A"/>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2026-03-09T06:31:19.901Z</dcterms:created>
  <dcterms:modified xsi:type="dcterms:W3CDTF">2026-03-09T06:31:19.902Z</dcterms:modified>
</cp:coreProperties>
</file>

<file path=docProps/custom.xml><?xml version="1.0" encoding="utf-8"?>
<Properties xmlns="http://schemas.openxmlformats.org/officeDocument/2006/custom-properties" xmlns:vt="http://schemas.openxmlformats.org/officeDocument/2006/docPropsVTypes"/>
</file>