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F2758" w14:textId="67ADB292" w:rsidR="000D4F60" w:rsidRPr="00201FD8" w:rsidRDefault="00B33BE2">
      <w:pPr>
        <w:rPr>
          <w:rFonts w:ascii="Arial" w:hAnsi="Arial" w:cs="Arial"/>
          <w:b/>
          <w:bCs/>
          <w:sz w:val="22"/>
          <w:szCs w:val="22"/>
        </w:rPr>
      </w:pPr>
      <w:r w:rsidRPr="00201FD8">
        <w:rPr>
          <w:rFonts w:ascii="Arial" w:hAnsi="Arial" w:cs="Arial"/>
          <w:b/>
          <w:bCs/>
          <w:sz w:val="22"/>
          <w:szCs w:val="22"/>
        </w:rPr>
        <w:t>Results Notes</w:t>
      </w:r>
    </w:p>
    <w:p w14:paraId="10BCD735" w14:textId="77777777" w:rsidR="00B33BE2" w:rsidRPr="00201FD8" w:rsidRDefault="00B33BE2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90905B9" w14:textId="4B225E6C" w:rsidR="00B33BE2" w:rsidRPr="00201FD8" w:rsidRDefault="00B33BE2" w:rsidP="00B33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01FD8">
        <w:rPr>
          <w:rFonts w:ascii="Arial" w:hAnsi="Arial" w:cs="Arial"/>
          <w:b/>
          <w:bCs/>
          <w:color w:val="000000" w:themeColor="text1"/>
          <w:sz w:val="22"/>
          <w:szCs w:val="22"/>
        </w:rPr>
        <w:t>Pairwise correlations:</w:t>
      </w:r>
    </w:p>
    <w:p w14:paraId="13123D2C" w14:textId="30BCA1AC" w:rsidR="004A02D5" w:rsidRPr="00201FD8" w:rsidRDefault="00201FD8" w:rsidP="004A02D5">
      <w:pPr>
        <w:pStyle w:val="ListParagraph"/>
        <w:spacing w:line="300" w:lineRule="atLeast"/>
        <w:rPr>
          <w:rFonts w:ascii="Arial" w:eastAsia="Times New Roman" w:hAnsi="Arial" w:cs="Arial"/>
          <w:color w:val="000000" w:themeColor="text1"/>
          <w:spacing w:val="3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 w:themeColor="text1"/>
          <w:spacing w:val="3"/>
          <w:kern w:val="0"/>
          <w:sz w:val="22"/>
          <w:szCs w:val="22"/>
          <w14:ligatures w14:val="none"/>
        </w:rPr>
        <w:t>It</w:t>
      </w:r>
      <w:r w:rsidR="004A02D5" w:rsidRPr="00201FD8">
        <w:rPr>
          <w:rFonts w:ascii="Arial" w:eastAsia="Times New Roman" w:hAnsi="Arial" w:cs="Arial"/>
          <w:color w:val="000000" w:themeColor="text1"/>
          <w:spacing w:val="3"/>
          <w:kern w:val="0"/>
          <w:sz w:val="22"/>
          <w:szCs w:val="22"/>
          <w14:ligatures w14:val="none"/>
        </w:rPr>
        <w:t xml:space="preserve"> looks like there are strong positive correlations between renter-occupied housing with below 150% poverty and with no vehicle in the household; below 150% poverty and SNAP benefits; higher median income with a bachelor's degree; limited English proficiency with less than high school education and with Hispanic. </w:t>
      </w:r>
      <w:r w:rsidR="004A02D5" w:rsidRPr="00201FD8">
        <w:rPr>
          <w:rFonts w:ascii="Arial" w:eastAsia="Times New Roman" w:hAnsi="Arial" w:cs="Arial"/>
          <w:color w:val="000000" w:themeColor="text1"/>
          <w:spacing w:val="3"/>
          <w:kern w:val="0"/>
          <w:sz w:val="22"/>
          <w:szCs w:val="22"/>
          <w14:ligatures w14:val="none"/>
        </w:rPr>
        <w:br/>
      </w:r>
      <w:r w:rsidR="004A02D5" w:rsidRPr="00201FD8">
        <w:rPr>
          <w:rFonts w:ascii="Arial" w:eastAsia="Times New Roman" w:hAnsi="Arial" w:cs="Arial"/>
          <w:color w:val="000000" w:themeColor="text1"/>
          <w:spacing w:val="3"/>
          <w:kern w:val="0"/>
          <w:sz w:val="22"/>
          <w:szCs w:val="22"/>
          <w14:ligatures w14:val="none"/>
        </w:rPr>
        <w:br/>
        <w:t>Also, there is a moderately strong positive correlation between female households, those less than high school education, those below 150% poverty, those with SNAP benefits, and Hispanics.</w:t>
      </w:r>
      <w:r w:rsidR="004A02D5" w:rsidRPr="00201FD8">
        <w:rPr>
          <w:rFonts w:ascii="Arial" w:eastAsia="Times New Roman" w:hAnsi="Arial" w:cs="Arial"/>
          <w:color w:val="000000" w:themeColor="text1"/>
          <w:spacing w:val="3"/>
          <w:kern w:val="0"/>
          <w:sz w:val="22"/>
          <w:szCs w:val="22"/>
          <w14:ligatures w14:val="none"/>
        </w:rPr>
        <w:br/>
      </w:r>
      <w:r w:rsidR="004A02D5" w:rsidRPr="00201FD8">
        <w:rPr>
          <w:rFonts w:ascii="Arial" w:eastAsia="Times New Roman" w:hAnsi="Arial" w:cs="Arial"/>
          <w:color w:val="000000" w:themeColor="text1"/>
          <w:spacing w:val="3"/>
          <w:kern w:val="0"/>
          <w:sz w:val="22"/>
          <w:szCs w:val="22"/>
          <w14:ligatures w14:val="none"/>
        </w:rPr>
        <w:br/>
        <w:t>Conversely, the lack of complete plumbing and NH Asian do not seem to be strongly correlated with any variables, perhaps due to a smaller sample size.</w:t>
      </w:r>
    </w:p>
    <w:p w14:paraId="3DC18BC3" w14:textId="58790675" w:rsidR="004A02D5" w:rsidRPr="00201FD8" w:rsidRDefault="004A02D5" w:rsidP="004A02D5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1B5EA431" w14:textId="3E3FAEEA" w:rsidR="004A02D5" w:rsidRPr="00201FD8" w:rsidRDefault="004A02D5" w:rsidP="00201FD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201FD8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Justification for reclassification of census tracts</w:t>
      </w:r>
      <w:r w:rsidR="00271F67" w:rsidRPr="00201FD8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(cluster pruning)</w:t>
      </w:r>
    </w:p>
    <w:p w14:paraId="3C7E7991" w14:textId="6D76084B" w:rsidR="00FA354A" w:rsidRPr="00201FD8" w:rsidRDefault="00FA354A" w:rsidP="00FA354A">
      <w:pPr>
        <w:pStyle w:val="ListParagraph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</w:p>
    <w:p w14:paraId="01BBEA8F" w14:textId="77777777" w:rsidR="00271F67" w:rsidRPr="00201FD8" w:rsidRDefault="00FA354A" w:rsidP="00271F67">
      <w:pPr>
        <w:pStyle w:val="ListParagraph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We performed additional post-processing steps to reclassify census tracts </w:t>
      </w:r>
      <w:r w:rsidR="00D876C9"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that were part of </w:t>
      </w:r>
      <w:r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small clusters (defined as a cluster that had at least 5% of the total number of census tracts).</w:t>
      </w:r>
      <w:r w:rsidR="00D876C9"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This was done to obtain meaningful/ interpretable clusters.</w:t>
      </w:r>
      <w:r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This reclassification was don</w:t>
      </w:r>
      <w:r w:rsidR="00D876C9"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e</w:t>
      </w:r>
      <w:r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based on their second-highest posterior probability since it wasn’t significantly higher</w:t>
      </w:r>
      <w:r w:rsidR="00D876C9"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. </w:t>
      </w:r>
      <w:r w:rsidR="00271F67"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498BECFC" w14:textId="77777777" w:rsidR="00271F67" w:rsidRPr="00201FD8" w:rsidRDefault="00271F67" w:rsidP="00271F67">
      <w:pPr>
        <w:pStyle w:val="ListParagraph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Also, as shown in the boxplot, some cluster assignment probabilities are low, which might indicate there is:</w:t>
      </w:r>
    </w:p>
    <w:p w14:paraId="676B526A" w14:textId="7981CCAA" w:rsidR="00271F67" w:rsidRPr="00201FD8" w:rsidRDefault="00271F67" w:rsidP="00271F6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uncertainty about the assignment</w:t>
      </w:r>
    </w:p>
    <w:p w14:paraId="4271B18C" w14:textId="6CC88873" w:rsidR="00271F67" w:rsidRPr="00201FD8" w:rsidRDefault="00271F67" w:rsidP="00271F6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01FD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Too many clusters might spread the data thinly across them, leading to these low assignment probabilities</w:t>
      </w:r>
    </w:p>
    <w:p w14:paraId="62C66DF9" w14:textId="77777777" w:rsidR="00271F67" w:rsidRPr="00201FD8" w:rsidRDefault="00271F67" w:rsidP="00FA354A">
      <w:pPr>
        <w:pStyle w:val="ListParagraph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</w:p>
    <w:p w14:paraId="05963619" w14:textId="3065F6A4" w:rsidR="00271F67" w:rsidRPr="00201FD8" w:rsidRDefault="00271F67" w:rsidP="00271F6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45C178A" w14:textId="17ECA6D2" w:rsidR="00271F67" w:rsidRDefault="00201FD8" w:rsidP="00271F6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Posterior probability </w:t>
      </w:r>
      <w:r w:rsidR="00271F67" w:rsidRPr="00201FD8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Boxplot</w:t>
      </w:r>
    </w:p>
    <w:p w14:paraId="720CD805" w14:textId="77777777" w:rsidR="00201FD8" w:rsidRPr="00201FD8" w:rsidRDefault="00201FD8" w:rsidP="00201FD8">
      <w:pPr>
        <w:pStyle w:val="ListParagraph"/>
        <w:ind w:left="1200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</w:pPr>
    </w:p>
    <w:p w14:paraId="15E01996" w14:textId="265B3CE4" w:rsidR="003E72C7" w:rsidRPr="00201FD8" w:rsidRDefault="00271F67" w:rsidP="00271F6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01FD8">
        <w:rPr>
          <w:rFonts w:ascii="Arial" w:hAnsi="Arial" w:cs="Arial"/>
          <w:sz w:val="22"/>
          <w:szCs w:val="22"/>
        </w:rPr>
        <w:t xml:space="preserve">Posterior assignment probabilities, in general, seem moderately high, with a median probability above 0.8 for all clusters; however, most clusters have </w:t>
      </w:r>
      <w:r w:rsidR="00680B25" w:rsidRPr="00201FD8">
        <w:rPr>
          <w:rFonts w:ascii="Arial" w:hAnsi="Arial" w:cs="Arial"/>
          <w:sz w:val="22"/>
          <w:szCs w:val="22"/>
        </w:rPr>
        <w:t>many</w:t>
      </w:r>
      <w:r w:rsidRPr="00201FD8">
        <w:rPr>
          <w:rFonts w:ascii="Arial" w:hAnsi="Arial" w:cs="Arial"/>
          <w:sz w:val="22"/>
          <w:szCs w:val="22"/>
        </w:rPr>
        <w:t xml:space="preserve"> outliers with lower assignment probability. </w:t>
      </w:r>
    </w:p>
    <w:p w14:paraId="2E0F77DA" w14:textId="77777777" w:rsidR="00680B25" w:rsidRPr="00201FD8" w:rsidRDefault="00680B25" w:rsidP="00680B25">
      <w:pPr>
        <w:pStyle w:val="ListParagraph"/>
        <w:ind w:left="400"/>
        <w:rPr>
          <w:rFonts w:ascii="Arial" w:hAnsi="Arial" w:cs="Arial"/>
          <w:sz w:val="22"/>
          <w:szCs w:val="22"/>
        </w:rPr>
      </w:pPr>
    </w:p>
    <w:p w14:paraId="4469210F" w14:textId="280E8D6C" w:rsidR="00B33BE2" w:rsidRPr="00201FD8" w:rsidRDefault="00680B25" w:rsidP="00680B2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01FD8">
        <w:rPr>
          <w:rFonts w:ascii="Arial" w:hAnsi="Arial" w:cs="Arial"/>
          <w:sz w:val="22"/>
          <w:szCs w:val="22"/>
        </w:rPr>
        <w:t>Clusters 1 and 3, which are incidentally also the largest clusters, have the highest assignment probabilities, whereas clusters 2 and 7 have the most spread and heterogeneity in assignment probabilities among census tracts. Clusters 1 and 3 also correspond to the affluent and at-risk clusters, respectively, indicating that the differences between these two clusters may be the most pronounced</w:t>
      </w:r>
    </w:p>
    <w:p w14:paraId="20ADBFB7" w14:textId="77777777" w:rsidR="00B33BE2" w:rsidRPr="00201FD8" w:rsidRDefault="00B33BE2" w:rsidP="00B33BE2">
      <w:pPr>
        <w:rPr>
          <w:rFonts w:ascii="Arial" w:hAnsi="Arial" w:cs="Arial"/>
          <w:b/>
          <w:bCs/>
          <w:sz w:val="22"/>
          <w:szCs w:val="22"/>
        </w:rPr>
      </w:pPr>
    </w:p>
    <w:p w14:paraId="32E78D27" w14:textId="77777777" w:rsidR="00B33BE2" w:rsidRPr="00201FD8" w:rsidRDefault="00B33BE2" w:rsidP="00B33BE2">
      <w:pPr>
        <w:rPr>
          <w:rFonts w:ascii="Arial" w:hAnsi="Arial" w:cs="Arial"/>
          <w:b/>
          <w:bCs/>
          <w:sz w:val="22"/>
          <w:szCs w:val="22"/>
        </w:rPr>
      </w:pPr>
    </w:p>
    <w:p w14:paraId="6F1F7018" w14:textId="508D9560" w:rsidR="00B33BE2" w:rsidRDefault="00201FD8" w:rsidP="00DD5C6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proofErr w:type="spellStart"/>
      <w:r w:rsidRPr="00201FD8">
        <w:rPr>
          <w:rFonts w:ascii="Arial" w:hAnsi="Arial" w:cs="Arial"/>
          <w:b/>
          <w:bCs/>
          <w:sz w:val="22"/>
          <w:szCs w:val="22"/>
        </w:rPr>
        <w:t>Barplot</w:t>
      </w:r>
      <w:proofErr w:type="spellEnd"/>
      <w:r w:rsidRPr="00201FD8">
        <w:rPr>
          <w:rFonts w:ascii="Arial" w:hAnsi="Arial" w:cs="Arial"/>
          <w:b/>
          <w:bCs/>
          <w:sz w:val="22"/>
          <w:szCs w:val="22"/>
        </w:rPr>
        <w:t xml:space="preserve"> summary of my inputs and Stephanie’s help </w:t>
      </w:r>
      <w:r>
        <w:rPr>
          <w:rFonts w:ascii="Arial" w:hAnsi="Arial" w:cs="Arial"/>
          <w:b/>
          <w:bCs/>
          <w:sz w:val="22"/>
          <w:szCs w:val="22"/>
        </w:rPr>
        <w:t>on labeling</w:t>
      </w:r>
    </w:p>
    <w:p w14:paraId="20391C73" w14:textId="77777777" w:rsidR="00CE37C9" w:rsidRDefault="00CE37C9" w:rsidP="00CE37C9">
      <w:pPr>
        <w:rPr>
          <w:rFonts w:ascii="Arial" w:hAnsi="Arial" w:cs="Arial"/>
          <w:b/>
          <w:bCs/>
          <w:sz w:val="22"/>
          <w:szCs w:val="22"/>
        </w:rPr>
      </w:pPr>
    </w:p>
    <w:p w14:paraId="7B102794" w14:textId="77777777" w:rsidR="00CE37C9" w:rsidRDefault="00CE37C9" w:rsidP="00CE37C9">
      <w:pPr>
        <w:rPr>
          <w:rFonts w:ascii="Arial" w:hAnsi="Arial" w:cs="Arial"/>
          <w:b/>
          <w:bCs/>
          <w:sz w:val="22"/>
          <w:szCs w:val="22"/>
        </w:rPr>
      </w:pPr>
    </w:p>
    <w:p w14:paraId="53B3E430" w14:textId="2467621D" w:rsidR="00CE37C9" w:rsidRPr="00CE37C9" w:rsidRDefault="00CE37C9" w:rsidP="00CE37C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(OLD)</w:t>
      </w:r>
    </w:p>
    <w:p w14:paraId="57606746" w14:textId="77777777" w:rsidR="00201FD8" w:rsidRDefault="00201FD8" w:rsidP="00201FD8">
      <w:pPr>
        <w:rPr>
          <w:rFonts w:ascii="Arial" w:hAnsi="Arial" w:cs="Arial"/>
          <w:b/>
          <w:bCs/>
          <w:sz w:val="22"/>
          <w:szCs w:val="22"/>
        </w:rPr>
      </w:pPr>
    </w:p>
    <w:p w14:paraId="19074C32" w14:textId="46FD35F8" w:rsidR="00B844B9" w:rsidRDefault="00F95B57" w:rsidP="00F95B57">
      <w:pPr>
        <w:rPr>
          <w:rFonts w:ascii="Arial" w:hAnsi="Arial" w:cs="Arial"/>
          <w:color w:val="4C94D8" w:themeColor="text2" w:themeTint="8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Figure xx shows the </w:t>
      </w:r>
      <w:proofErr w:type="spellStart"/>
      <w:r w:rsidRPr="00F95B57">
        <w:rPr>
          <w:rFonts w:ascii="Arial" w:hAnsi="Arial" w:cs="Arial"/>
          <w:color w:val="4C94D8" w:themeColor="text2" w:themeTint="80"/>
          <w:sz w:val="22"/>
          <w:szCs w:val="22"/>
        </w:rPr>
        <w:t>the</w:t>
      </w:r>
      <w:proofErr w:type="spellEnd"/>
      <w:r w:rsidRPr="00F95B57">
        <w:rPr>
          <w:rFonts w:ascii="Arial" w:hAnsi="Arial" w:cs="Arial"/>
          <w:color w:val="4C94D8" w:themeColor="text2" w:themeTint="80"/>
          <w:sz w:val="22"/>
          <w:szCs w:val="22"/>
        </w:rPr>
        <w:t xml:space="preserve"> estimated probability of high exposure to NSDoH variables for a census tract given its assignment to a NSDoH profile</w:t>
      </w: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/cluster. </w:t>
      </w:r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 xml:space="preserve"> </w:t>
      </w:r>
      <w:r>
        <w:rPr>
          <w:rFonts w:ascii="Arial" w:hAnsi="Arial" w:cs="Arial"/>
          <w:color w:val="4C94D8" w:themeColor="text2" w:themeTint="80"/>
          <w:sz w:val="22"/>
          <w:szCs w:val="22"/>
        </w:rPr>
        <w:t>C</w:t>
      </w:r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 xml:space="preserve">luster 1 was labeled as </w:t>
      </w:r>
      <w:r w:rsidRPr="00F95B57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“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affluent, high 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lastRenderedPageBreak/>
        <w:t>educat</w:t>
      </w:r>
      <w:r w:rsidR="0056732D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ion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, home</w:t>
      </w:r>
      <w:r w:rsidR="0056732D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 ownership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”</w:t>
      </w:r>
      <w:r w:rsidRPr="00F95B57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 </w:t>
      </w:r>
      <w:r w:rsidRPr="00375865">
        <w:rPr>
          <w:rFonts w:ascii="Arial" w:hAnsi="Arial" w:cs="Arial"/>
          <w:color w:val="4C94D8" w:themeColor="text2" w:themeTint="80"/>
          <w:sz w:val="22"/>
          <w:szCs w:val="22"/>
        </w:rPr>
        <w:t>census tracts</w:t>
      </w:r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 xml:space="preserve"> based on count</w:t>
      </w: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y composition (add citation: </w:t>
      </w:r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>[</w:t>
      </w:r>
      <w:proofErr w:type="spellStart"/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>HD</w:t>
      </w:r>
      <w:r w:rsidRPr="00207DD2">
        <w:rPr>
          <w:rFonts w:ascii="Arial" w:hAnsi="Arial" w:cs="Arial"/>
          <w:i/>
          <w:iCs/>
          <w:color w:val="4C94D8" w:themeColor="text2" w:themeTint="80"/>
          <w:sz w:val="22"/>
          <w:szCs w:val="22"/>
        </w:rPr>
        <w:t>Pulse</w:t>
      </w:r>
      <w:proofErr w:type="spellEnd"/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 xml:space="preserve">: An Ecosystem of Minority Health and Health Disparities Resources. National Institute on Minority Health and Health Disparities. Created 8/12/2024. Available from </w:t>
      </w:r>
      <w:hyperlink r:id="rId5" w:history="1">
        <w:r w:rsidRPr="00207DD2">
          <w:rPr>
            <w:rStyle w:val="Hyperlink"/>
            <w:rFonts w:ascii="Arial" w:eastAsiaTheme="majorEastAsia" w:hAnsi="Arial" w:cs="Arial"/>
            <w:color w:val="9ABFCA" w:themeColor="hyperlink" w:themeTint="80"/>
            <w:sz w:val="22"/>
            <w:szCs w:val="22"/>
          </w:rPr>
          <w:t>https://hdpulse.nimhd.nih.gov</w:t>
        </w:r>
      </w:hyperlink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>]</w:t>
      </w:r>
      <w:r>
        <w:rPr>
          <w:rFonts w:ascii="Arial" w:hAnsi="Arial" w:cs="Arial"/>
          <w:color w:val="4C94D8" w:themeColor="text2" w:themeTint="80"/>
          <w:sz w:val="22"/>
          <w:szCs w:val="22"/>
        </w:rPr>
        <w:t>) and NSDoH composition</w:t>
      </w:r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 xml:space="preserve"> and represented 27% of MA census tracts. This cluster is characterized by a combination of probability values that indicated a high level of exposure to NSDoH variables such as owner-occupied housing, median income above the median for the state of MA, education higher than HS, and low-level exposure to working-class employment, and state assistantships programs (SNAP benefits).</w:t>
      </w: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 </w:t>
      </w:r>
      <w:r w:rsidR="004732B2">
        <w:rPr>
          <w:rFonts w:ascii="Arial" w:hAnsi="Arial" w:cs="Arial"/>
          <w:color w:val="4C94D8" w:themeColor="text2" w:themeTint="80"/>
          <w:sz w:val="22"/>
          <w:szCs w:val="22"/>
        </w:rPr>
        <w:t xml:space="preserve"> </w:t>
      </w:r>
    </w:p>
    <w:p w14:paraId="01110291" w14:textId="6D25FF95" w:rsidR="00F95B57" w:rsidRDefault="00F95B57" w:rsidP="00F95B57">
      <w:pPr>
        <w:rPr>
          <w:rFonts w:ascii="Arial" w:hAnsi="Arial" w:cs="Arial"/>
          <w:color w:val="4C94D8" w:themeColor="text2" w:themeTint="8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Profile/cluster 2 was labeled </w:t>
      </w:r>
      <w:r w:rsidR="001C68FA">
        <w:rPr>
          <w:rFonts w:ascii="Arial" w:hAnsi="Arial" w:cs="Arial"/>
          <w:color w:val="4C94D8" w:themeColor="text2" w:themeTint="80"/>
          <w:sz w:val="22"/>
          <w:szCs w:val="22"/>
        </w:rPr>
        <w:t>“socioeconomic disadvantage - m</w:t>
      </w:r>
      <w:r w:rsidR="001C68FA" w:rsidRPr="001C68FA">
        <w:rPr>
          <w:rFonts w:ascii="Arial" w:hAnsi="Arial" w:cs="Arial"/>
          <w:color w:val="4C94D8" w:themeColor="text2" w:themeTint="80"/>
          <w:sz w:val="22"/>
          <w:szCs w:val="22"/>
        </w:rPr>
        <w:t xml:space="preserve">oderate </w:t>
      </w:r>
      <w:r w:rsidR="001C68FA">
        <w:rPr>
          <w:rFonts w:ascii="Arial" w:hAnsi="Arial" w:cs="Arial"/>
          <w:color w:val="4C94D8" w:themeColor="text2" w:themeTint="80"/>
          <w:sz w:val="22"/>
          <w:szCs w:val="22"/>
        </w:rPr>
        <w:t>ethnic minority”</w:t>
      </w: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 and was characterized by </w:t>
      </w:r>
      <w:r w:rsidR="001C68FA">
        <w:rPr>
          <w:rFonts w:ascii="Arial" w:hAnsi="Arial" w:cs="Arial"/>
          <w:color w:val="4C94D8" w:themeColor="text2" w:themeTint="80"/>
          <w:sz w:val="22"/>
          <w:szCs w:val="22"/>
        </w:rPr>
        <w:t xml:space="preserve">a </w:t>
      </w: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high level of exposure to NSDoH variables such </w:t>
      </w:r>
      <w:r w:rsidR="004732B2">
        <w:rPr>
          <w:rFonts w:ascii="Arial" w:hAnsi="Arial" w:cs="Arial"/>
          <w:color w:val="4C94D8" w:themeColor="text2" w:themeTint="80"/>
          <w:sz w:val="22"/>
          <w:szCs w:val="22"/>
        </w:rPr>
        <w:t>as less</w:t>
      </w: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 than HS education, below poverty line, </w:t>
      </w:r>
      <w:r w:rsidRPr="00207DD2">
        <w:rPr>
          <w:rFonts w:ascii="Arial" w:hAnsi="Arial" w:cs="Arial"/>
          <w:color w:val="4C94D8" w:themeColor="text2" w:themeTint="80"/>
          <w:sz w:val="22"/>
          <w:szCs w:val="22"/>
        </w:rPr>
        <w:t>state assistantships programs (SNAP benefits)</w:t>
      </w:r>
      <w:r w:rsidR="004732B2">
        <w:rPr>
          <w:rFonts w:ascii="Arial" w:hAnsi="Arial" w:cs="Arial"/>
          <w:color w:val="4C94D8" w:themeColor="text2" w:themeTint="80"/>
          <w:sz w:val="22"/>
          <w:szCs w:val="22"/>
        </w:rPr>
        <w:t xml:space="preserve">, renter-occupied households, working class, and low-level of exposure higher median income in the household. In terms of ethnic minorities, this profile has </w:t>
      </w:r>
      <w:r w:rsidR="001C68FA">
        <w:rPr>
          <w:rFonts w:ascii="Arial" w:hAnsi="Arial" w:cs="Arial"/>
          <w:color w:val="4C94D8" w:themeColor="text2" w:themeTint="80"/>
          <w:sz w:val="22"/>
          <w:szCs w:val="22"/>
        </w:rPr>
        <w:t>a medium probability of high level of exposure values for NHB and Hispanic populations above th</w:t>
      </w:r>
      <w:r w:rsidR="004732B2">
        <w:rPr>
          <w:rFonts w:ascii="Arial" w:hAnsi="Arial" w:cs="Arial"/>
          <w:color w:val="4C94D8" w:themeColor="text2" w:themeTint="80"/>
          <w:sz w:val="22"/>
          <w:szCs w:val="22"/>
        </w:rPr>
        <w:t>e median for the state.</w:t>
      </w:r>
    </w:p>
    <w:p w14:paraId="46E94A42" w14:textId="2E71F7EE" w:rsidR="00F95B57" w:rsidRDefault="001C68FA" w:rsidP="00B33BE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Profile 3 represented the second largest cluster containing 25% of MA census tracts. </w:t>
      </w:r>
      <w:r w:rsidR="00EC6B8B">
        <w:rPr>
          <w:rFonts w:ascii="Arial" w:hAnsi="Arial" w:cs="Arial"/>
          <w:color w:val="4C94D8" w:themeColor="text2" w:themeTint="80"/>
          <w:sz w:val="22"/>
          <w:szCs w:val="22"/>
        </w:rPr>
        <w:t xml:space="preserve"> We labeled this cluster as 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“m</w:t>
      </w:r>
      <w:r w:rsidR="00375865" w:rsidRP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ulti-Ethnic, 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s</w:t>
      </w:r>
      <w:r w:rsidR="00375865" w:rsidRP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ocioeconomically 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v</w:t>
      </w:r>
      <w:r w:rsidR="00375865" w:rsidRP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ulnerable 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s</w:t>
      </w:r>
      <w:r w:rsidR="00375865" w:rsidRP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ingle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 female</w:t>
      </w:r>
      <w:r w:rsidR="00375865" w:rsidRP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-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p</w:t>
      </w:r>
      <w:r w:rsidR="00375865" w:rsidRP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arent and 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i</w:t>
      </w:r>
      <w:r w:rsidR="00375865" w:rsidRP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mmigrant</w:t>
      </w:r>
      <w:r w:rsidR="0037586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”. </w:t>
      </w:r>
      <w:r w:rsidR="00EC6B8B">
        <w:rPr>
          <w:rFonts w:ascii="Arial" w:hAnsi="Arial" w:cs="Arial"/>
          <w:color w:val="4C94D8" w:themeColor="text2" w:themeTint="80"/>
          <w:sz w:val="22"/>
          <w:szCs w:val="22"/>
        </w:rPr>
        <w:t>This cluster had the highest probability of households with limited English proficiency, single-parent-female households, and crowding in the household.  Additionally, there is a high probability of exposure to lack of plumbing, renter-occupied, no vehicle access, working class, and ethnic minority groups, especially NHB and Hispanics. This cluster is also characterized as having the lowest education levels when compared to all other NSDoH profiles.</w:t>
      </w:r>
      <w:r w:rsidR="00950B68">
        <w:rPr>
          <w:rFonts w:ascii="Arial" w:hAnsi="Arial" w:cs="Arial"/>
          <w:color w:val="4C94D8" w:themeColor="text2" w:themeTint="80"/>
          <w:sz w:val="22"/>
          <w:szCs w:val="22"/>
        </w:rPr>
        <w:t xml:space="preserve"> </w:t>
      </w:r>
      <w:r w:rsidR="00F515D0">
        <w:rPr>
          <w:rFonts w:ascii="Arial" w:hAnsi="Arial" w:cs="Arial"/>
          <w:color w:val="4C94D8" w:themeColor="text2" w:themeTint="80"/>
          <w:sz w:val="22"/>
          <w:szCs w:val="22"/>
        </w:rPr>
        <w:t>Profile 4</w:t>
      </w:r>
      <w:r w:rsidR="001B3654">
        <w:rPr>
          <w:rFonts w:ascii="Arial" w:hAnsi="Arial" w:cs="Arial"/>
          <w:color w:val="4C94D8" w:themeColor="text2" w:themeTint="80"/>
          <w:sz w:val="22"/>
          <w:szCs w:val="22"/>
        </w:rPr>
        <w:t xml:space="preserve"> was labeled </w:t>
      </w:r>
      <w:r w:rsidR="001B3654" w:rsidRPr="00950B68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“</w:t>
      </w:r>
      <w:r w:rsidR="00C80FB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multi-ethnic, immigrant ??</w:t>
      </w:r>
      <w:r w:rsidR="001B3654" w:rsidRPr="00950B68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”</w:t>
      </w:r>
      <w:r w:rsidR="00114215">
        <w:rPr>
          <w:rFonts w:ascii="Arial" w:hAnsi="Arial" w:cs="Arial"/>
          <w:color w:val="4C94D8" w:themeColor="text2" w:themeTint="80"/>
          <w:sz w:val="22"/>
          <w:szCs w:val="22"/>
        </w:rPr>
        <w:t>; this profile had a high probability of ethnic minorities and limited English proficiency, renter-occupied housing, no vehicle in the household, and SNAP benefits</w:t>
      </w:r>
      <w:r w:rsidR="00114215" w:rsidRPr="00F17561">
        <w:rPr>
          <w:rFonts w:ascii="Arial" w:hAnsi="Arial" w:cs="Arial"/>
          <w:color w:val="FF0000"/>
          <w:sz w:val="22"/>
          <w:szCs w:val="22"/>
        </w:rPr>
        <w:t>. [I agree with Stephanie’s comment about this cluster containing households of recent immigrants</w:t>
      </w:r>
      <w:r w:rsidR="00950B68" w:rsidRPr="00F17561">
        <w:rPr>
          <w:rFonts w:ascii="Arial" w:hAnsi="Arial" w:cs="Arial"/>
          <w:color w:val="FF0000"/>
          <w:sz w:val="22"/>
          <w:szCs w:val="22"/>
        </w:rPr>
        <w:t>, given the probability of English proficiency (i.e., the households ranked their EN proficiency as “less than well”, who have different educational backgrounds,</w:t>
      </w:r>
      <w:r w:rsidR="00114215" w:rsidRPr="00F17561">
        <w:rPr>
          <w:rFonts w:ascii="Arial" w:hAnsi="Arial" w:cs="Arial"/>
          <w:color w:val="FF0000"/>
          <w:sz w:val="22"/>
          <w:szCs w:val="22"/>
        </w:rPr>
        <w:t xml:space="preserve"> hence the possible discrepancies in these probabilities where &lt;HS and &gt;= bachelor’s degrees seem to be more prominent.]</w:t>
      </w:r>
      <w:r w:rsidR="00C80FB5" w:rsidRPr="00F17561">
        <w:rPr>
          <w:rFonts w:ascii="Arial" w:hAnsi="Arial" w:cs="Arial"/>
          <w:color w:val="FF0000"/>
          <w:sz w:val="22"/>
          <w:szCs w:val="22"/>
        </w:rPr>
        <w:t xml:space="preserve"> </w:t>
      </w:r>
      <w:r w:rsidR="00950B68" w:rsidRPr="00C80FB5">
        <w:rPr>
          <w:rFonts w:ascii="Arial" w:hAnsi="Arial" w:cs="Arial"/>
          <w:color w:val="4C94D8" w:themeColor="text2" w:themeTint="80"/>
          <w:sz w:val="22"/>
          <w:szCs w:val="22"/>
        </w:rPr>
        <w:t xml:space="preserve">Profile </w:t>
      </w:r>
      <w:r w:rsidR="00C80FB5" w:rsidRPr="00C80FB5">
        <w:rPr>
          <w:rFonts w:ascii="Arial" w:hAnsi="Arial" w:cs="Arial"/>
          <w:color w:val="4C94D8" w:themeColor="text2" w:themeTint="80"/>
          <w:sz w:val="22"/>
          <w:szCs w:val="22"/>
        </w:rPr>
        <w:t>5 is</w:t>
      </w:r>
      <w:r w:rsidR="00950B68" w:rsidRPr="00C80FB5">
        <w:rPr>
          <w:rFonts w:ascii="Arial" w:hAnsi="Arial" w:cs="Arial"/>
          <w:color w:val="4C94D8" w:themeColor="text2" w:themeTint="80"/>
          <w:sz w:val="22"/>
          <w:szCs w:val="22"/>
        </w:rPr>
        <w:t xml:space="preserve"> characterized </w:t>
      </w:r>
      <w:r w:rsidR="00C80FB5" w:rsidRPr="00C80FB5">
        <w:rPr>
          <w:rFonts w:ascii="Arial" w:hAnsi="Arial" w:cs="Arial"/>
          <w:color w:val="4C94D8" w:themeColor="text2" w:themeTint="80"/>
          <w:sz w:val="22"/>
          <w:szCs w:val="22"/>
        </w:rPr>
        <w:t>by a high probability of owner-occupied housing, &lt; HS education, working class, ethnic minorities</w:t>
      </w:r>
      <w:r w:rsidR="00C80FB5">
        <w:rPr>
          <w:rFonts w:ascii="Arial" w:hAnsi="Arial" w:cs="Arial"/>
          <w:color w:val="4C94D8" w:themeColor="text2" w:themeTint="80"/>
          <w:sz w:val="22"/>
          <w:szCs w:val="22"/>
        </w:rPr>
        <w:t xml:space="preserve">, and low probabilities for other household-related variables such as </w:t>
      </w:r>
      <w:r w:rsidR="00261966">
        <w:rPr>
          <w:rFonts w:ascii="Arial" w:hAnsi="Arial" w:cs="Arial"/>
          <w:color w:val="4C94D8" w:themeColor="text2" w:themeTint="80"/>
          <w:sz w:val="22"/>
          <w:szCs w:val="22"/>
        </w:rPr>
        <w:t xml:space="preserve">lack of plumbing and no vehicle.  We labeled this cluster as </w:t>
      </w:r>
      <w:r w:rsidR="00261966" w:rsidRPr="00261966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“</w:t>
      </w:r>
      <w:r w:rsidR="00261966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multi-ethnic, working class, </w:t>
      </w:r>
      <w:r w:rsidR="00F17561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home</w:t>
      </w:r>
      <w:r w:rsidR="0056732D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 </w:t>
      </w:r>
      <w:r w:rsidR="00F17561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owner</w:t>
      </w:r>
      <w:r w:rsidR="0056732D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ship</w:t>
      </w:r>
      <w:r w:rsidR="00261966" w:rsidRPr="00261966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”</w:t>
      </w:r>
      <w:r w:rsidR="00261966">
        <w:rPr>
          <w:rFonts w:ascii="Arial" w:hAnsi="Arial" w:cs="Arial"/>
          <w:color w:val="4C94D8" w:themeColor="text2" w:themeTint="80"/>
          <w:sz w:val="22"/>
          <w:szCs w:val="22"/>
        </w:rPr>
        <w:t xml:space="preserve">.  </w:t>
      </w:r>
      <w:r w:rsidR="00E537C8">
        <w:rPr>
          <w:rFonts w:ascii="Arial" w:hAnsi="Arial" w:cs="Arial"/>
          <w:color w:val="4C94D8" w:themeColor="text2" w:themeTint="80"/>
          <w:sz w:val="22"/>
          <w:szCs w:val="22"/>
        </w:rPr>
        <w:t>Profile 6</w:t>
      </w:r>
      <w:r w:rsidR="00FC54C0">
        <w:rPr>
          <w:rFonts w:ascii="Arial" w:hAnsi="Arial" w:cs="Arial"/>
          <w:color w:val="4C94D8" w:themeColor="text2" w:themeTint="80"/>
          <w:sz w:val="22"/>
          <w:szCs w:val="22"/>
        </w:rPr>
        <w:t xml:space="preserve"> had some similarities with NSDoH profile 5, except for education variables, which had slightly higher probabilities and lower probabilities for ethnic minorities and limited English proficiency, which may </w:t>
      </w:r>
      <w:r w:rsidR="00261966">
        <w:rPr>
          <w:rFonts w:ascii="Arial" w:hAnsi="Arial" w:cs="Arial"/>
          <w:color w:val="4C94D8" w:themeColor="text2" w:themeTint="80"/>
          <w:sz w:val="22"/>
          <w:szCs w:val="22"/>
        </w:rPr>
        <w:t xml:space="preserve">be an indication of a lower proportion of immigrant households residing in census tracts assigned to this profile. We labeled this cluster as </w:t>
      </w:r>
      <w:r w:rsidR="00261966" w:rsidRPr="00261966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“</w:t>
      </w:r>
      <w:r w:rsidR="00F17561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--</w:t>
      </w:r>
      <w:r w:rsidR="00261966" w:rsidRPr="00261966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”</w:t>
      </w:r>
      <w:r w:rsidR="00F72843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. </w:t>
      </w:r>
      <w:r w:rsidR="00F72843" w:rsidRPr="00F72843">
        <w:rPr>
          <w:rFonts w:ascii="Arial" w:hAnsi="Arial" w:cs="Arial"/>
          <w:color w:val="4C94D8" w:themeColor="text2" w:themeTint="80"/>
          <w:sz w:val="22"/>
          <w:szCs w:val="22"/>
        </w:rPr>
        <w:t>Profile 7</w:t>
      </w:r>
      <w:r w:rsidR="00F72843">
        <w:rPr>
          <w:rFonts w:ascii="Arial" w:hAnsi="Arial" w:cs="Arial"/>
          <w:color w:val="4C94D8" w:themeColor="text2" w:themeTint="80"/>
          <w:sz w:val="22"/>
          <w:szCs w:val="22"/>
        </w:rPr>
        <w:t xml:space="preserve"> had some similarities with NSDoH profile 1, given the low probabilities for ethnic minorities</w:t>
      </w:r>
      <w:r w:rsidR="00636C18">
        <w:rPr>
          <w:rFonts w:ascii="Arial" w:hAnsi="Arial" w:cs="Arial"/>
          <w:color w:val="4C94D8" w:themeColor="text2" w:themeTint="80"/>
          <w:sz w:val="22"/>
          <w:szCs w:val="22"/>
        </w:rPr>
        <w:t xml:space="preserve">, and household variables except </w:t>
      </w:r>
      <w:r w:rsidR="008B75C0">
        <w:rPr>
          <w:rFonts w:ascii="Arial" w:hAnsi="Arial" w:cs="Arial"/>
          <w:color w:val="4C94D8" w:themeColor="text2" w:themeTint="80"/>
          <w:sz w:val="22"/>
          <w:szCs w:val="22"/>
        </w:rPr>
        <w:t>for owner</w:t>
      </w:r>
      <w:r w:rsidR="00636C18">
        <w:rPr>
          <w:rFonts w:ascii="Arial" w:hAnsi="Arial" w:cs="Arial"/>
          <w:color w:val="4C94D8" w:themeColor="text2" w:themeTint="80"/>
          <w:sz w:val="22"/>
          <w:szCs w:val="22"/>
        </w:rPr>
        <w:t>-occupied housing</w:t>
      </w:r>
      <w:r w:rsidR="008B75C0">
        <w:rPr>
          <w:rFonts w:ascii="Arial" w:hAnsi="Arial" w:cs="Arial"/>
          <w:color w:val="4C94D8" w:themeColor="text2" w:themeTint="80"/>
          <w:sz w:val="22"/>
          <w:szCs w:val="22"/>
        </w:rPr>
        <w:t>. This cluster has high probabilities for working class and very low probability for limited English proficiency. Based on these characteristics we labeled this cluster as “”.</w:t>
      </w:r>
      <w:r w:rsidR="006C6DC5">
        <w:rPr>
          <w:rFonts w:ascii="Arial" w:hAnsi="Arial" w:cs="Arial"/>
          <w:color w:val="4C94D8" w:themeColor="text2" w:themeTint="80"/>
          <w:sz w:val="22"/>
          <w:szCs w:val="22"/>
        </w:rPr>
        <w:t xml:space="preserve"> </w:t>
      </w:r>
      <w:r w:rsidR="006C6DC5" w:rsidRPr="00AD2E98">
        <w:rPr>
          <w:rFonts w:ascii="Arial" w:hAnsi="Arial" w:cs="Arial"/>
          <w:color w:val="4C94D8" w:themeColor="text2" w:themeTint="80"/>
          <w:sz w:val="22"/>
          <w:szCs w:val="22"/>
        </w:rPr>
        <w:t xml:space="preserve">Profile 8 is labeled as </w:t>
      </w:r>
      <w:r w:rsidR="006C6DC5" w:rsidRPr="00AD2E98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“high earning</w:t>
      </w:r>
      <w:r w:rsidR="0056732D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>/high education</w:t>
      </w:r>
      <w:r w:rsidR="006C6DC5" w:rsidRPr="00AD2E98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 -multi-ethnic”.</w:t>
      </w:r>
      <w:r w:rsidR="006C6DC5" w:rsidRPr="00AD2E98">
        <w:rPr>
          <w:rFonts w:ascii="Arial" w:hAnsi="Arial" w:cs="Arial"/>
          <w:color w:val="4C94D8" w:themeColor="text2" w:themeTint="80"/>
          <w:sz w:val="22"/>
          <w:szCs w:val="22"/>
        </w:rPr>
        <w:t xml:space="preserve"> This profile is characterized by a high probability of a high level of exposure to NSDoH variables such as renter-occupied housing, education &gt;= HS and &gt;= </w:t>
      </w:r>
      <w:r w:rsidR="00BC5638" w:rsidRPr="00AD2E98">
        <w:rPr>
          <w:rFonts w:ascii="Arial" w:hAnsi="Arial" w:cs="Arial"/>
          <w:color w:val="4C94D8" w:themeColor="text2" w:themeTint="80"/>
          <w:sz w:val="22"/>
          <w:szCs w:val="22"/>
        </w:rPr>
        <w:t>bachelor’s</w:t>
      </w:r>
      <w:r w:rsidR="006C6DC5" w:rsidRPr="00AD2E98">
        <w:rPr>
          <w:rFonts w:ascii="Arial" w:hAnsi="Arial" w:cs="Arial"/>
          <w:color w:val="4C94D8" w:themeColor="text2" w:themeTint="80"/>
          <w:sz w:val="22"/>
          <w:szCs w:val="22"/>
        </w:rPr>
        <w:t xml:space="preserve"> degree, </w:t>
      </w:r>
      <w:r w:rsidR="00030616">
        <w:rPr>
          <w:rFonts w:ascii="Arial" w:hAnsi="Arial" w:cs="Arial"/>
          <w:color w:val="4C94D8" w:themeColor="text2" w:themeTint="80"/>
          <w:sz w:val="22"/>
          <w:szCs w:val="22"/>
        </w:rPr>
        <w:t>median income, and ethnic minorities,</w:t>
      </w:r>
      <w:r w:rsidR="00A85638" w:rsidRPr="00AD2E98">
        <w:rPr>
          <w:rFonts w:ascii="Arial" w:hAnsi="Arial" w:cs="Arial"/>
          <w:color w:val="4C94D8" w:themeColor="text2" w:themeTint="80"/>
          <w:sz w:val="22"/>
          <w:szCs w:val="22"/>
        </w:rPr>
        <w:t xml:space="preserve"> especially NHA</w:t>
      </w:r>
      <w:r w:rsidR="006C6DC5" w:rsidRPr="00AD2E98">
        <w:rPr>
          <w:rFonts w:ascii="Arial" w:hAnsi="Arial" w:cs="Arial"/>
          <w:color w:val="4C94D8" w:themeColor="text2" w:themeTint="80"/>
          <w:sz w:val="22"/>
          <w:szCs w:val="22"/>
        </w:rPr>
        <w:t>. Additionally, there are low probabilities for variables such as SNAP benefits, poverty line, and working class.</w:t>
      </w:r>
      <w:r w:rsidR="006C6DC5">
        <w:rPr>
          <w:rFonts w:ascii="Arial" w:hAnsi="Arial" w:cs="Arial"/>
          <w:b/>
          <w:bCs/>
          <w:color w:val="4C94D8" w:themeColor="text2" w:themeTint="80"/>
          <w:sz w:val="22"/>
          <w:szCs w:val="22"/>
        </w:rPr>
        <w:t xml:space="preserve"> </w:t>
      </w:r>
    </w:p>
    <w:p w14:paraId="545F0225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0DE232CE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5193ADE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54C218F5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BD5C82A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B0BA30C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A17DB23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A0E798B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676E823A" w14:textId="2FA099E7" w:rsidR="00757624" w:rsidRDefault="00AD3A39" w:rsidP="00AD3A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We take on ideas from qualitative research analysis and conduct a “Top-</w:t>
      </w:r>
      <w:r w:rsidRPr="00AD3A39">
        <w:rPr>
          <w:rFonts w:ascii="Arial" w:hAnsi="Arial" w:cs="Arial"/>
          <w:b/>
          <w:bCs/>
          <w:sz w:val="22"/>
          <w:szCs w:val="22"/>
        </w:rPr>
        <w:t>dow</w:t>
      </w:r>
      <w:r>
        <w:rPr>
          <w:rFonts w:ascii="Arial" w:hAnsi="Arial" w:cs="Arial"/>
          <w:b/>
          <w:bCs/>
          <w:sz w:val="22"/>
          <w:szCs w:val="22"/>
        </w:rPr>
        <w:t>n</w:t>
      </w:r>
      <w:r w:rsidRPr="00AD3A39">
        <w:rPr>
          <w:rFonts w:ascii="Arial" w:hAnsi="Arial" w:cs="Arial"/>
          <w:b/>
          <w:bCs/>
          <w:sz w:val="22"/>
          <w:szCs w:val="22"/>
        </w:rPr>
        <w:t>”</w:t>
      </w:r>
      <w:r>
        <w:rPr>
          <w:rFonts w:ascii="Arial" w:hAnsi="Arial" w:cs="Arial"/>
          <w:b/>
          <w:bCs/>
          <w:sz w:val="22"/>
          <w:szCs w:val="22"/>
        </w:rPr>
        <w:t xml:space="preserve"> or deductive approach</w:t>
      </w:r>
      <w:r w:rsidR="004E7674">
        <w:rPr>
          <w:rFonts w:ascii="Arial" w:hAnsi="Arial" w:cs="Arial"/>
          <w:b/>
          <w:bCs/>
          <w:sz w:val="22"/>
          <w:szCs w:val="22"/>
        </w:rPr>
        <w:t xml:space="preserve"> to facilitate a more meaningful and systematic interpretation of the clustering analysis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="00CE37C9" w:rsidRPr="00760F76">
        <w:rPr>
          <w:rFonts w:ascii="Arial" w:hAnsi="Arial" w:cs="Arial"/>
          <w:sz w:val="22"/>
          <w:szCs w:val="22"/>
        </w:rPr>
        <w:t>Based on the selected</w:t>
      </w:r>
      <w:r>
        <w:rPr>
          <w:rFonts w:ascii="Arial" w:hAnsi="Arial" w:cs="Arial"/>
          <w:sz w:val="22"/>
          <w:szCs w:val="22"/>
        </w:rPr>
        <w:t xml:space="preserve"> ACS neighborhood-level variables and previous </w:t>
      </w:r>
      <w:r w:rsidR="004E7674">
        <w:rPr>
          <w:rFonts w:ascii="Arial" w:hAnsi="Arial" w:cs="Arial"/>
          <w:sz w:val="22"/>
          <w:szCs w:val="22"/>
        </w:rPr>
        <w:t>research, we</w:t>
      </w:r>
      <w:r>
        <w:rPr>
          <w:rFonts w:ascii="Arial" w:hAnsi="Arial" w:cs="Arial"/>
          <w:sz w:val="22"/>
          <w:szCs w:val="22"/>
        </w:rPr>
        <w:t xml:space="preserve"> identified four (4) main thematic “codes”</w:t>
      </w:r>
      <w:r w:rsidR="000D76A2">
        <w:rPr>
          <w:rFonts w:ascii="Arial" w:hAnsi="Arial" w:cs="Arial"/>
          <w:sz w:val="22"/>
          <w:szCs w:val="22"/>
        </w:rPr>
        <w:t xml:space="preserve">. (cite ADI paper and </w:t>
      </w:r>
      <w:proofErr w:type="spellStart"/>
      <w:r w:rsidR="000D76A2">
        <w:rPr>
          <w:rFonts w:ascii="Arial" w:hAnsi="Arial" w:cs="Arial"/>
          <w:sz w:val="22"/>
          <w:szCs w:val="22"/>
        </w:rPr>
        <w:t>Kolak</w:t>
      </w:r>
      <w:proofErr w:type="spellEnd"/>
      <w:r w:rsidR="000D76A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9ECC2AC" w14:textId="77777777" w:rsidR="00757624" w:rsidRDefault="00757624" w:rsidP="00AD3A39">
      <w:pPr>
        <w:rPr>
          <w:rFonts w:ascii="Arial" w:hAnsi="Arial" w:cs="Arial"/>
          <w:sz w:val="22"/>
          <w:szCs w:val="22"/>
        </w:rPr>
      </w:pPr>
    </w:p>
    <w:p w14:paraId="212D478F" w14:textId="77777777" w:rsidR="00AD3A39" w:rsidRDefault="00AD3A39" w:rsidP="00AD3A39">
      <w:pPr>
        <w:rPr>
          <w:rFonts w:ascii="Arial" w:hAnsi="Arial" w:cs="Arial"/>
          <w:sz w:val="22"/>
          <w:szCs w:val="22"/>
        </w:rPr>
      </w:pPr>
    </w:p>
    <w:p w14:paraId="07B8144D" w14:textId="1711BF55" w:rsidR="00760F76" w:rsidRPr="000D76A2" w:rsidRDefault="00760F76" w:rsidP="000D76A2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D76A2">
        <w:rPr>
          <w:rFonts w:ascii="Arial" w:hAnsi="Arial" w:cs="Arial"/>
          <w:b/>
          <w:bCs/>
          <w:sz w:val="22"/>
          <w:szCs w:val="22"/>
        </w:rPr>
        <w:t>Wealth or Financial strength</w:t>
      </w:r>
      <w:r w:rsidRPr="000D76A2">
        <w:rPr>
          <w:rFonts w:ascii="Arial" w:hAnsi="Arial" w:cs="Arial"/>
          <w:sz w:val="22"/>
          <w:szCs w:val="22"/>
        </w:rPr>
        <w:t xml:space="preserve"> (economic health of the household; well-being)</w:t>
      </w:r>
    </w:p>
    <w:p w14:paraId="2C167E7F" w14:textId="67C71073" w:rsidR="00760F76" w:rsidRDefault="00000000" w:rsidP="00760F76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hyperlink r:id="rId6" w:history="1">
        <w:r w:rsidR="00760F76" w:rsidRPr="003C5D0D">
          <w:rPr>
            <w:rStyle w:val="Hyperlink"/>
            <w:rFonts w:ascii="Arial" w:hAnsi="Arial" w:cs="Arial"/>
            <w:sz w:val="22"/>
            <w:szCs w:val="22"/>
          </w:rPr>
          <w:t>https://www.census.gov/programs-surveys/sipp/information/sipp-survparticp-brochures/wealth-assets-ownership.html</w:t>
        </w:r>
      </w:hyperlink>
    </w:p>
    <w:p w14:paraId="4D52D775" w14:textId="7B6B8F18" w:rsidR="008232A1" w:rsidRDefault="00000000" w:rsidP="00760F76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hyperlink r:id="rId7" w:history="1">
        <w:r w:rsidR="006E25A9" w:rsidRPr="003C5D0D">
          <w:rPr>
            <w:rStyle w:val="Hyperlink"/>
            <w:rFonts w:ascii="Arial" w:hAnsi="Arial" w:cs="Arial"/>
            <w:sz w:val="22"/>
            <w:szCs w:val="22"/>
          </w:rPr>
          <w:t>https://www.sciencedirect.com/topics/social-sciences/wealth</w:t>
        </w:r>
      </w:hyperlink>
    </w:p>
    <w:p w14:paraId="0402820F" w14:textId="1DE99918" w:rsidR="006E25A9" w:rsidRPr="006E25A9" w:rsidRDefault="00000000" w:rsidP="006E25A9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hyperlink r:id="rId8" w:history="1">
        <w:r w:rsidR="006E25A9" w:rsidRPr="003C5D0D">
          <w:rPr>
            <w:rStyle w:val="Hyperlink"/>
            <w:rFonts w:ascii="Arial" w:hAnsi="Arial" w:cs="Arial"/>
            <w:sz w:val="22"/>
            <w:szCs w:val="22"/>
          </w:rPr>
          <w:t>https://www.hsph.harvard.edu/pgda/wp-content/uploads/sites/1288/2013/10/PGDA_WP_97.pdf</w:t>
        </w:r>
      </w:hyperlink>
    </w:p>
    <w:p w14:paraId="2E4B8712" w14:textId="77777777" w:rsidR="008232A1" w:rsidRDefault="008232A1" w:rsidP="008232A1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3E42C996" w14:textId="777B9F89" w:rsidR="00760F76" w:rsidRDefault="00760F76" w:rsidP="00760F76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Proxy variables:  home tenure, vehicle in the household, complete plumbing in the household</w:t>
      </w:r>
      <w:r w:rsidR="006E25A9">
        <w:rPr>
          <w:rFonts w:ascii="Arial" w:hAnsi="Arial" w:cs="Arial"/>
          <w:sz w:val="22"/>
          <w:szCs w:val="22"/>
        </w:rPr>
        <w:t>, crowding in the household</w:t>
      </w:r>
    </w:p>
    <w:p w14:paraId="5E51C170" w14:textId="77777777" w:rsidR="00C05179" w:rsidRPr="00C11261" w:rsidRDefault="00C05179" w:rsidP="00C11261">
      <w:pPr>
        <w:rPr>
          <w:rFonts w:ascii="Arial" w:hAnsi="Arial" w:cs="Arial"/>
          <w:sz w:val="22"/>
          <w:szCs w:val="22"/>
        </w:rPr>
      </w:pPr>
    </w:p>
    <w:p w14:paraId="45E5F576" w14:textId="35C88F9C" w:rsidR="00C05179" w:rsidRPr="00555769" w:rsidRDefault="00C05179" w:rsidP="005557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context of our measure of NSDoH, we relate </w:t>
      </w:r>
      <w:r w:rsidR="00665D39">
        <w:rPr>
          <w:rFonts w:ascii="Arial" w:hAnsi="Arial" w:cs="Arial"/>
          <w:sz w:val="22"/>
          <w:szCs w:val="22"/>
        </w:rPr>
        <w:t xml:space="preserve">household </w:t>
      </w:r>
      <w:r>
        <w:rPr>
          <w:rFonts w:ascii="Arial" w:hAnsi="Arial" w:cs="Arial"/>
          <w:sz w:val="22"/>
          <w:szCs w:val="22"/>
        </w:rPr>
        <w:t xml:space="preserve">wealth </w:t>
      </w:r>
      <w:r w:rsidR="00665D39">
        <w:rPr>
          <w:rFonts w:ascii="Arial" w:hAnsi="Arial" w:cs="Arial"/>
          <w:sz w:val="22"/>
          <w:szCs w:val="22"/>
        </w:rPr>
        <w:t xml:space="preserve">to the </w:t>
      </w:r>
      <w:r>
        <w:rPr>
          <w:rFonts w:ascii="Arial" w:hAnsi="Arial" w:cs="Arial"/>
          <w:sz w:val="22"/>
          <w:szCs w:val="22"/>
        </w:rPr>
        <w:t>economic health of the household, and therefore, this thematic code is composed of the indicator variables, home tenure (owner-occupied vs. renter-occupied housing),</w:t>
      </w:r>
      <w:r w:rsidR="00665D3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 vehicle, lack of complete plumbing, and crowding</w:t>
      </w:r>
      <w:r w:rsidR="00665D39">
        <w:rPr>
          <w:rFonts w:ascii="Arial" w:hAnsi="Arial" w:cs="Arial"/>
          <w:sz w:val="22"/>
          <w:szCs w:val="22"/>
        </w:rPr>
        <w:t xml:space="preserve">. </w:t>
      </w:r>
      <w:r w:rsidR="00307A2A">
        <w:rPr>
          <w:rFonts w:ascii="Arial" w:hAnsi="Arial" w:cs="Arial"/>
          <w:sz w:val="22"/>
          <w:szCs w:val="22"/>
        </w:rPr>
        <w:t xml:space="preserve">Household crowding, for example, is considered a marker of poverty and has been associated with adverse health outcomes. (cite: </w:t>
      </w:r>
      <w:hyperlink r:id="rId9" w:history="1">
        <w:r w:rsidR="00307A2A" w:rsidRPr="00DB2E28">
          <w:rPr>
            <w:rStyle w:val="Hyperlink"/>
            <w:rFonts w:ascii="Arial" w:hAnsi="Arial" w:cs="Arial"/>
            <w:sz w:val="22"/>
            <w:szCs w:val="22"/>
          </w:rPr>
          <w:t>https://www.ncbi.nlm.nih.gov/books/NBK535299/</w:t>
        </w:r>
      </w:hyperlink>
      <w:r w:rsidR="00307A2A">
        <w:rPr>
          <w:rFonts w:ascii="Arial" w:hAnsi="Arial" w:cs="Arial"/>
          <w:sz w:val="22"/>
          <w:szCs w:val="22"/>
        </w:rPr>
        <w:t>). Additionally, studies have reported associations between ho</w:t>
      </w:r>
      <w:r w:rsidR="00370BAC">
        <w:rPr>
          <w:rFonts w:ascii="Arial" w:hAnsi="Arial" w:cs="Arial"/>
          <w:sz w:val="22"/>
          <w:szCs w:val="22"/>
        </w:rPr>
        <w:t xml:space="preserve">meownership and </w:t>
      </w:r>
      <w:r w:rsidR="00F746FA">
        <w:rPr>
          <w:rFonts w:ascii="Arial" w:hAnsi="Arial" w:cs="Arial"/>
          <w:sz w:val="22"/>
          <w:szCs w:val="22"/>
        </w:rPr>
        <w:t xml:space="preserve">improved </w:t>
      </w:r>
      <w:r w:rsidR="00370BAC">
        <w:rPr>
          <w:rFonts w:ascii="Arial" w:hAnsi="Arial" w:cs="Arial"/>
          <w:sz w:val="22"/>
          <w:szCs w:val="22"/>
        </w:rPr>
        <w:t xml:space="preserve">health outcomes, and </w:t>
      </w:r>
      <w:r w:rsidR="00F746FA">
        <w:rPr>
          <w:rFonts w:ascii="Arial" w:hAnsi="Arial" w:cs="Arial"/>
          <w:sz w:val="22"/>
          <w:szCs w:val="22"/>
        </w:rPr>
        <w:t xml:space="preserve">overall </w:t>
      </w:r>
      <w:r w:rsidR="00370BAC">
        <w:rPr>
          <w:rFonts w:ascii="Arial" w:hAnsi="Arial" w:cs="Arial"/>
          <w:sz w:val="22"/>
          <w:szCs w:val="22"/>
        </w:rPr>
        <w:t>economic well-b</w:t>
      </w:r>
      <w:r w:rsidR="00F746FA">
        <w:rPr>
          <w:rFonts w:ascii="Arial" w:hAnsi="Arial" w:cs="Arial"/>
          <w:sz w:val="22"/>
          <w:szCs w:val="22"/>
        </w:rPr>
        <w:t>eing</w:t>
      </w:r>
      <w:r w:rsidR="00370BAC">
        <w:rPr>
          <w:rFonts w:ascii="Arial" w:hAnsi="Arial" w:cs="Arial"/>
          <w:sz w:val="22"/>
          <w:szCs w:val="22"/>
        </w:rPr>
        <w:t>(</w:t>
      </w:r>
      <w:hyperlink r:id="rId10" w:history="1">
        <w:r w:rsidR="00370BAC" w:rsidRPr="00DB2E28">
          <w:rPr>
            <w:rStyle w:val="Hyperlink"/>
            <w:rFonts w:ascii="Arial" w:hAnsi="Arial" w:cs="Arial"/>
            <w:sz w:val="22"/>
            <w:szCs w:val="22"/>
          </w:rPr>
          <w:t>https://www.mdpi.com/1660-4601/14/10/1098</w:t>
        </w:r>
      </w:hyperlink>
      <w:r w:rsidR="00370BAC">
        <w:rPr>
          <w:rFonts w:ascii="Arial" w:hAnsi="Arial" w:cs="Arial"/>
          <w:sz w:val="22"/>
          <w:szCs w:val="22"/>
        </w:rPr>
        <w:t xml:space="preserve">, </w:t>
      </w:r>
      <w:hyperlink r:id="rId11" w:history="1">
        <w:r w:rsidR="00370BAC" w:rsidRPr="00DB2E28">
          <w:rPr>
            <w:rStyle w:val="Hyperlink"/>
            <w:rFonts w:ascii="Arial" w:hAnsi="Arial" w:cs="Arial"/>
            <w:sz w:val="22"/>
            <w:szCs w:val="22"/>
          </w:rPr>
          <w:t>https://www.tandfonline.com/doi/full/10.1080/19371918.2015.1137518</w:t>
        </w:r>
      </w:hyperlink>
      <w:r w:rsidR="00370BAC">
        <w:rPr>
          <w:rFonts w:ascii="Arial" w:hAnsi="Arial" w:cs="Arial"/>
          <w:sz w:val="22"/>
          <w:szCs w:val="22"/>
        </w:rPr>
        <w:t xml:space="preserve">, </w:t>
      </w:r>
      <w:hyperlink r:id="rId12" w:history="1">
        <w:r w:rsidR="00370BAC" w:rsidRPr="00DB2E28">
          <w:rPr>
            <w:rStyle w:val="Hyperlink"/>
            <w:rFonts w:ascii="Arial" w:hAnsi="Arial" w:cs="Arial"/>
            <w:sz w:val="22"/>
            <w:szCs w:val="22"/>
          </w:rPr>
          <w:t>https://www.ncbi.nlm.nih.gov/pmc/articles/PMC7725589/</w:t>
        </w:r>
      </w:hyperlink>
      <w:r w:rsidR="00370BAC" w:rsidRPr="00370BAC">
        <w:rPr>
          <w:rFonts w:ascii="Arial" w:hAnsi="Arial" w:cs="Arial"/>
          <w:sz w:val="22"/>
          <w:szCs w:val="22"/>
        </w:rPr>
        <w:t>)</w:t>
      </w:r>
      <w:r w:rsidR="00393C18">
        <w:rPr>
          <w:rFonts w:ascii="Arial" w:hAnsi="Arial" w:cs="Arial"/>
          <w:sz w:val="22"/>
          <w:szCs w:val="22"/>
        </w:rPr>
        <w:t xml:space="preserve">. </w:t>
      </w:r>
      <w:r w:rsidR="00393C18" w:rsidRPr="00F563BD">
        <w:rPr>
          <w:rFonts w:ascii="Arial" w:hAnsi="Arial" w:cs="Arial"/>
          <w:color w:val="000000" w:themeColor="text1"/>
          <w:sz w:val="22"/>
          <w:szCs w:val="22"/>
        </w:rPr>
        <w:t>Therefore, w</w:t>
      </w:r>
      <w:r w:rsidR="00393C18" w:rsidRPr="00F563BD">
        <w:rPr>
          <w:rFonts w:ascii="Arial" w:hAnsi="Arial" w:cs="Arial"/>
          <w:color w:val="000000" w:themeColor="text1"/>
          <w:sz w:val="22"/>
          <w:szCs w:val="22"/>
        </w:rPr>
        <w:t xml:space="preserve">e rank neighborhoods within a cluster as having low </w:t>
      </w:r>
      <w:r w:rsidR="00393C18" w:rsidRPr="00F563BD">
        <w:rPr>
          <w:rFonts w:ascii="Arial" w:hAnsi="Arial" w:cs="Arial"/>
          <w:color w:val="000000" w:themeColor="text1"/>
          <w:sz w:val="22"/>
          <w:szCs w:val="22"/>
        </w:rPr>
        <w:t>wealth</w:t>
      </w:r>
      <w:r w:rsidR="00393C18" w:rsidRPr="00F563BD">
        <w:rPr>
          <w:rFonts w:ascii="Arial" w:hAnsi="Arial" w:cs="Arial"/>
          <w:color w:val="000000" w:themeColor="text1"/>
          <w:sz w:val="22"/>
          <w:szCs w:val="22"/>
        </w:rPr>
        <w:t xml:space="preserve"> if the cluster is characterized by a combination of probability values that indicate a high level of exposure to NSDoH variables such as </w:t>
      </w:r>
      <w:r w:rsidR="00393C18" w:rsidRPr="00F563BD">
        <w:rPr>
          <w:rFonts w:ascii="Arial" w:hAnsi="Arial" w:cs="Arial"/>
          <w:color w:val="000000" w:themeColor="text1"/>
          <w:sz w:val="22"/>
          <w:szCs w:val="22"/>
        </w:rPr>
        <w:t>no vehicle, renter-occupied housing, lack of complete plumbing</w:t>
      </w:r>
      <w:r w:rsidR="00BC172A" w:rsidRPr="00F563BD">
        <w:rPr>
          <w:rFonts w:ascii="Arial" w:hAnsi="Arial" w:cs="Arial"/>
          <w:color w:val="000000" w:themeColor="text1"/>
          <w:sz w:val="22"/>
          <w:szCs w:val="22"/>
        </w:rPr>
        <w:t>,</w:t>
      </w:r>
      <w:r w:rsidR="00393C18" w:rsidRPr="00F563BD">
        <w:rPr>
          <w:rFonts w:ascii="Arial" w:hAnsi="Arial" w:cs="Arial"/>
          <w:color w:val="000000" w:themeColor="text1"/>
          <w:sz w:val="22"/>
          <w:szCs w:val="22"/>
        </w:rPr>
        <w:t xml:space="preserve"> and crowded household.</w:t>
      </w:r>
    </w:p>
    <w:p w14:paraId="52E508B4" w14:textId="77777777" w:rsidR="004E7674" w:rsidRDefault="004E7674" w:rsidP="003C69C0">
      <w:pPr>
        <w:rPr>
          <w:rFonts w:ascii="Arial" w:hAnsi="Arial" w:cs="Arial"/>
          <w:sz w:val="22"/>
          <w:szCs w:val="22"/>
        </w:rPr>
      </w:pPr>
    </w:p>
    <w:p w14:paraId="635712FA" w14:textId="1543DAAF" w:rsidR="00760F76" w:rsidRDefault="006E25A9" w:rsidP="00760F7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Economic Security</w:t>
      </w:r>
      <w:r w:rsidR="00C05179">
        <w:rPr>
          <w:rFonts w:ascii="Arial" w:hAnsi="Arial" w:cs="Arial"/>
          <w:sz w:val="22"/>
          <w:szCs w:val="22"/>
        </w:rPr>
        <w:t xml:space="preserve"> (Monetary indicators or possible indicators of economic hardship or inequality </w:t>
      </w:r>
      <w:r w:rsidR="00F563BD">
        <w:rPr>
          <w:rFonts w:ascii="Arial" w:hAnsi="Arial" w:cs="Arial"/>
          <w:sz w:val="22"/>
          <w:szCs w:val="22"/>
        </w:rPr>
        <w:t>like</w:t>
      </w:r>
      <w:r w:rsidR="00C05179">
        <w:rPr>
          <w:rFonts w:ascii="Arial" w:hAnsi="Arial" w:cs="Arial"/>
          <w:sz w:val="22"/>
          <w:szCs w:val="22"/>
        </w:rPr>
        <w:t xml:space="preserve"> the ADI-3</w:t>
      </w:r>
      <w:r w:rsidR="001363A8">
        <w:rPr>
          <w:rFonts w:ascii="Arial" w:hAnsi="Arial" w:cs="Arial"/>
          <w:sz w:val="22"/>
          <w:szCs w:val="22"/>
        </w:rPr>
        <w:t xml:space="preserve">—I wanted to include variables that could “measure” </w:t>
      </w:r>
      <w:r w:rsidR="00F563BD">
        <w:rPr>
          <w:rFonts w:ascii="Arial" w:hAnsi="Arial" w:cs="Arial"/>
          <w:sz w:val="22"/>
          <w:szCs w:val="22"/>
        </w:rPr>
        <w:t xml:space="preserve">the </w:t>
      </w:r>
      <w:r w:rsidR="001363A8">
        <w:rPr>
          <w:rFonts w:ascii="Arial" w:hAnsi="Arial" w:cs="Arial"/>
          <w:sz w:val="22"/>
          <w:szCs w:val="22"/>
        </w:rPr>
        <w:t xml:space="preserve">ability of individual households to meet basic </w:t>
      </w:r>
      <w:r w:rsidR="00BF2A08">
        <w:rPr>
          <w:rFonts w:ascii="Arial" w:hAnsi="Arial" w:cs="Arial"/>
          <w:sz w:val="22"/>
          <w:szCs w:val="22"/>
        </w:rPr>
        <w:t>needs sustainable like food</w:t>
      </w:r>
      <w:r w:rsidR="00C05179">
        <w:rPr>
          <w:rFonts w:ascii="Arial" w:hAnsi="Arial" w:cs="Arial"/>
          <w:sz w:val="22"/>
          <w:szCs w:val="22"/>
        </w:rPr>
        <w:t>)</w:t>
      </w:r>
    </w:p>
    <w:p w14:paraId="7E7593CB" w14:textId="6834416A" w:rsidR="00CE37C9" w:rsidRDefault="006E25A9" w:rsidP="00B33BE2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Proxies: Median income, </w:t>
      </w:r>
      <w:r w:rsidRPr="00307A2A">
        <w:rPr>
          <w:rFonts w:ascii="Arial" w:hAnsi="Arial" w:cs="Arial"/>
          <w:color w:val="FF0000"/>
          <w:sz w:val="22"/>
          <w:szCs w:val="22"/>
        </w:rPr>
        <w:t>poverty,</w:t>
      </w:r>
      <w:r>
        <w:rPr>
          <w:rFonts w:ascii="Arial" w:hAnsi="Arial" w:cs="Arial"/>
          <w:sz w:val="22"/>
          <w:szCs w:val="22"/>
        </w:rPr>
        <w:t xml:space="preserve"> SNAP benefits, unemployment and working-class status</w:t>
      </w:r>
    </w:p>
    <w:p w14:paraId="59052320" w14:textId="31597339" w:rsidR="00393C18" w:rsidRDefault="00555769" w:rsidP="005557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second thematic code we use to interpret our clustering analysis is economic security. </w:t>
      </w:r>
      <w:r w:rsidR="00393C18">
        <w:rPr>
          <w:rFonts w:ascii="Arial" w:hAnsi="Arial" w:cs="Arial"/>
          <w:sz w:val="22"/>
          <w:szCs w:val="22"/>
        </w:rPr>
        <w:t xml:space="preserve">We characterized economic security through proxy indicators of possible monetary hardship or inequality, namely median family income, poverty level, </w:t>
      </w:r>
      <w:r w:rsidR="00F563BD">
        <w:rPr>
          <w:rFonts w:ascii="Arial" w:hAnsi="Arial" w:cs="Arial"/>
          <w:sz w:val="22"/>
          <w:szCs w:val="22"/>
        </w:rPr>
        <w:t>f</w:t>
      </w:r>
      <w:r w:rsidR="00393C18">
        <w:rPr>
          <w:rFonts w:ascii="Arial" w:hAnsi="Arial" w:cs="Arial"/>
          <w:sz w:val="22"/>
          <w:szCs w:val="22"/>
        </w:rPr>
        <w:t xml:space="preserve">ood stamps/SNAP benefits, unemployment, and working-class status. </w:t>
      </w:r>
    </w:p>
    <w:p w14:paraId="1FB257C3" w14:textId="77777777" w:rsidR="006E25A9" w:rsidRPr="00A45937" w:rsidRDefault="006E25A9" w:rsidP="00A45937">
      <w:pPr>
        <w:rPr>
          <w:rFonts w:ascii="Arial" w:hAnsi="Arial" w:cs="Arial"/>
          <w:sz w:val="22"/>
          <w:szCs w:val="22"/>
        </w:rPr>
      </w:pPr>
    </w:p>
    <w:p w14:paraId="3D0A8790" w14:textId="63AB1824" w:rsidR="006E25A9" w:rsidRDefault="006E25A9" w:rsidP="006E25A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E25A9">
        <w:rPr>
          <w:rFonts w:ascii="Arial" w:hAnsi="Arial" w:cs="Arial"/>
          <w:sz w:val="22"/>
          <w:szCs w:val="22"/>
        </w:rPr>
        <w:t>Educational Attainment</w:t>
      </w:r>
    </w:p>
    <w:p w14:paraId="17A77FC0" w14:textId="5E1CBB65" w:rsidR="00683FBE" w:rsidRDefault="006E25A9" w:rsidP="00683FBE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Education variables</w:t>
      </w:r>
    </w:p>
    <w:p w14:paraId="6BC03A9A" w14:textId="1A056034" w:rsidR="00F563BD" w:rsidRPr="00F563BD" w:rsidRDefault="00F563BD" w:rsidP="00F563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third thematic code, educational attainment, is commonly used as an indicator of socioeconomic </w:t>
      </w:r>
      <w:r w:rsidR="006A7BEA">
        <w:rPr>
          <w:rFonts w:ascii="Arial" w:hAnsi="Arial" w:cs="Arial"/>
          <w:sz w:val="22"/>
          <w:szCs w:val="22"/>
        </w:rPr>
        <w:t>status (cite)</w:t>
      </w:r>
      <w:r>
        <w:rPr>
          <w:rFonts w:ascii="Arial" w:hAnsi="Arial" w:cs="Arial"/>
          <w:sz w:val="22"/>
          <w:szCs w:val="22"/>
        </w:rPr>
        <w:t>, and in the context of NSDoH cluster profile characterization</w:t>
      </w:r>
      <w:r w:rsidR="006A7BE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it could fall under any of the thematic above</w:t>
      </w:r>
      <w:r w:rsidR="006A7BEA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however,</w:t>
      </w:r>
      <w:r w:rsidR="006A7BEA">
        <w:rPr>
          <w:rFonts w:ascii="Arial" w:hAnsi="Arial" w:cs="Arial"/>
          <w:sz w:val="22"/>
          <w:szCs w:val="22"/>
        </w:rPr>
        <w:t xml:space="preserve"> education can influence outcomes beyond SES, and thus we examine as a separate attribute.  Similarly, we rank NSDoH clusters as having low education attainment based on the probability values for less than HS </w:t>
      </w:r>
      <w:r w:rsidR="00067ED9">
        <w:rPr>
          <w:rFonts w:ascii="Arial" w:hAnsi="Arial" w:cs="Arial"/>
          <w:sz w:val="22"/>
          <w:szCs w:val="22"/>
        </w:rPr>
        <w:t>versus &gt;</w:t>
      </w:r>
      <w:r w:rsidR="006A7BEA">
        <w:rPr>
          <w:rFonts w:ascii="Arial" w:hAnsi="Arial" w:cs="Arial"/>
          <w:sz w:val="22"/>
          <w:szCs w:val="22"/>
        </w:rPr>
        <w:t>= HS, and &gt;= Bachelor.</w:t>
      </w:r>
    </w:p>
    <w:p w14:paraId="615971C8" w14:textId="77777777" w:rsidR="00683FBE" w:rsidRDefault="00683FBE" w:rsidP="00683FBE">
      <w:pPr>
        <w:rPr>
          <w:rFonts w:ascii="Arial" w:hAnsi="Arial" w:cs="Arial"/>
          <w:sz w:val="22"/>
          <w:szCs w:val="22"/>
        </w:rPr>
      </w:pPr>
    </w:p>
    <w:p w14:paraId="1D9A64A1" w14:textId="77777777" w:rsidR="00683FBE" w:rsidRDefault="00683FBE" w:rsidP="00683FBE">
      <w:pPr>
        <w:rPr>
          <w:rFonts w:ascii="Arial" w:hAnsi="Arial" w:cs="Arial"/>
          <w:sz w:val="22"/>
          <w:szCs w:val="22"/>
        </w:rPr>
      </w:pPr>
    </w:p>
    <w:p w14:paraId="445E66FF" w14:textId="77777777" w:rsidR="00683FBE" w:rsidRPr="00683FBE" w:rsidRDefault="00683FBE" w:rsidP="00683FBE">
      <w:pPr>
        <w:rPr>
          <w:rFonts w:ascii="Arial" w:hAnsi="Arial" w:cs="Arial"/>
          <w:sz w:val="22"/>
          <w:szCs w:val="22"/>
        </w:rPr>
      </w:pPr>
    </w:p>
    <w:p w14:paraId="434B09F8" w14:textId="77777777" w:rsidR="006E25A9" w:rsidRDefault="006E25A9" w:rsidP="006E25A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243CD711" w14:textId="17EF9D9B" w:rsidR="006E25A9" w:rsidRDefault="006E25A9" w:rsidP="006E25A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E25A9">
        <w:rPr>
          <w:rFonts w:ascii="Arial" w:hAnsi="Arial" w:cs="Arial"/>
          <w:sz w:val="22"/>
          <w:szCs w:val="22"/>
        </w:rPr>
        <w:t xml:space="preserve">Cultural </w:t>
      </w:r>
      <w:r>
        <w:rPr>
          <w:rFonts w:ascii="Arial" w:hAnsi="Arial" w:cs="Arial"/>
          <w:sz w:val="22"/>
          <w:szCs w:val="22"/>
        </w:rPr>
        <w:t>A</w:t>
      </w:r>
      <w:r w:rsidRPr="006E25A9">
        <w:rPr>
          <w:rFonts w:ascii="Arial" w:hAnsi="Arial" w:cs="Arial"/>
          <w:sz w:val="22"/>
          <w:szCs w:val="22"/>
        </w:rPr>
        <w:t xml:space="preserve">dvantage </w:t>
      </w:r>
    </w:p>
    <w:p w14:paraId="55C5B529" w14:textId="5C9E90F6" w:rsidR="006E25A9" w:rsidRDefault="006E25A9" w:rsidP="006E25A9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Limited EN proficiency</w:t>
      </w:r>
    </w:p>
    <w:p w14:paraId="740BFBF9" w14:textId="17C1E6A2" w:rsidR="006E25A9" w:rsidRDefault="006E25A9" w:rsidP="006E25A9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Ethnic minorities </w:t>
      </w:r>
    </w:p>
    <w:p w14:paraId="19C0A407" w14:textId="31ED447E" w:rsidR="006E25A9" w:rsidRDefault="006E25A9" w:rsidP="006E25A9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Female household</w:t>
      </w:r>
    </w:p>
    <w:p w14:paraId="626DA65E" w14:textId="77777777" w:rsidR="00DF6344" w:rsidRDefault="00DF6344" w:rsidP="00B33BE2">
      <w:pPr>
        <w:rPr>
          <w:rFonts w:ascii="Arial" w:hAnsi="Arial" w:cs="Arial"/>
          <w:sz w:val="22"/>
          <w:szCs w:val="22"/>
        </w:rPr>
      </w:pPr>
    </w:p>
    <w:p w14:paraId="7DD17A96" w14:textId="72E59F74" w:rsidR="005D6289" w:rsidRDefault="008B43A7" w:rsidP="00B33B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Cultur</w:t>
      </w:r>
      <w:r w:rsidR="00DF6344">
        <w:rPr>
          <w:rFonts w:ascii="Arial" w:hAnsi="Arial" w:cs="Arial"/>
          <w:sz w:val="22"/>
          <w:szCs w:val="22"/>
        </w:rPr>
        <w:t xml:space="preserve">al advantage is defined as a dynamic interplay between multi-ethnic communities and the social structures that govern daily life, such as family roles. Previous </w:t>
      </w:r>
      <w:r w:rsidR="00A2507F">
        <w:rPr>
          <w:rFonts w:ascii="Arial" w:hAnsi="Arial" w:cs="Arial"/>
          <w:sz w:val="22"/>
          <w:szCs w:val="22"/>
        </w:rPr>
        <w:t>literature has</w:t>
      </w:r>
      <w:r w:rsidR="00DF6344">
        <w:rPr>
          <w:rFonts w:ascii="Arial" w:hAnsi="Arial" w:cs="Arial"/>
          <w:sz w:val="22"/>
          <w:szCs w:val="22"/>
        </w:rPr>
        <w:t xml:space="preserve"> shown association</w:t>
      </w:r>
      <w:r w:rsidR="00A2507F">
        <w:rPr>
          <w:rFonts w:ascii="Arial" w:hAnsi="Arial" w:cs="Arial"/>
          <w:sz w:val="22"/>
          <w:szCs w:val="22"/>
        </w:rPr>
        <w:t xml:space="preserve">s </w:t>
      </w:r>
      <w:r w:rsidR="00DF6344">
        <w:rPr>
          <w:rFonts w:ascii="Arial" w:hAnsi="Arial" w:cs="Arial"/>
          <w:sz w:val="22"/>
          <w:szCs w:val="22"/>
        </w:rPr>
        <w:t xml:space="preserve">between </w:t>
      </w:r>
      <w:r w:rsidR="00A2507F">
        <w:rPr>
          <w:rFonts w:ascii="Arial" w:hAnsi="Arial" w:cs="Arial"/>
          <w:sz w:val="22"/>
          <w:szCs w:val="22"/>
        </w:rPr>
        <w:t>single-parent households, specifically female households, socioeconomic status d</w:t>
      </w:r>
      <w:r w:rsidR="00017E1C">
        <w:rPr>
          <w:rFonts w:ascii="Arial" w:hAnsi="Arial" w:cs="Arial"/>
          <w:sz w:val="22"/>
          <w:szCs w:val="22"/>
        </w:rPr>
        <w:t>isadvantage</w:t>
      </w:r>
      <w:r w:rsidR="00107DD7">
        <w:rPr>
          <w:rFonts w:ascii="Arial" w:hAnsi="Arial" w:cs="Arial"/>
          <w:sz w:val="22"/>
          <w:szCs w:val="22"/>
        </w:rPr>
        <w:t>, and poor health outcomes</w:t>
      </w:r>
      <w:r w:rsidR="00A2507F">
        <w:rPr>
          <w:rFonts w:ascii="Arial" w:hAnsi="Arial" w:cs="Arial"/>
          <w:sz w:val="22"/>
          <w:szCs w:val="22"/>
        </w:rPr>
        <w:t>.</w:t>
      </w:r>
      <w:r w:rsidR="00017E1C">
        <w:rPr>
          <w:rFonts w:ascii="Arial" w:hAnsi="Arial" w:cs="Arial"/>
          <w:sz w:val="22"/>
          <w:szCs w:val="22"/>
        </w:rPr>
        <w:t xml:space="preserve"> </w:t>
      </w:r>
      <w:r w:rsidR="005D6289">
        <w:rPr>
          <w:rFonts w:ascii="Arial" w:hAnsi="Arial" w:cs="Arial"/>
          <w:sz w:val="22"/>
          <w:szCs w:val="22"/>
        </w:rPr>
        <w:t xml:space="preserve">A potential mechanism for these differences could be that, especially in neighborhoods dominated by immigrant communities, single mothers might work in occupations with low earning </w:t>
      </w:r>
      <w:r w:rsidR="003E2788">
        <w:rPr>
          <w:rFonts w:ascii="Arial" w:hAnsi="Arial" w:cs="Arial"/>
          <w:sz w:val="22"/>
          <w:szCs w:val="22"/>
        </w:rPr>
        <w:t>potential and</w:t>
      </w:r>
      <w:r w:rsidR="005D6289">
        <w:rPr>
          <w:rFonts w:ascii="Arial" w:hAnsi="Arial" w:cs="Arial"/>
          <w:sz w:val="22"/>
          <w:szCs w:val="22"/>
        </w:rPr>
        <w:t xml:space="preserve"> have limited social networks</w:t>
      </w:r>
      <w:r w:rsidR="003E2788">
        <w:rPr>
          <w:rFonts w:ascii="Arial" w:hAnsi="Arial" w:cs="Arial"/>
          <w:sz w:val="22"/>
          <w:szCs w:val="22"/>
        </w:rPr>
        <w:t xml:space="preserve"> to help balance responsibilities. </w:t>
      </w:r>
      <w:r w:rsidR="00A2507F">
        <w:rPr>
          <w:rFonts w:ascii="Arial" w:hAnsi="Arial" w:cs="Arial"/>
          <w:sz w:val="22"/>
          <w:szCs w:val="22"/>
        </w:rPr>
        <w:t>(</w:t>
      </w:r>
      <w:hyperlink r:id="rId13" w:history="1">
        <w:r w:rsidR="005D6289" w:rsidRPr="00DB2E28">
          <w:rPr>
            <w:rStyle w:val="Hyperlink"/>
            <w:rFonts w:ascii="Arial" w:hAnsi="Arial" w:cs="Arial"/>
            <w:sz w:val="22"/>
            <w:szCs w:val="22"/>
          </w:rPr>
          <w:t>https://www.ncbi.nlm.nih.gov/pmc/articles/PMC7880085/</w:t>
        </w:r>
      </w:hyperlink>
      <w:r w:rsidR="005D6289">
        <w:rPr>
          <w:rFonts w:ascii="Arial" w:hAnsi="Arial" w:cs="Arial"/>
          <w:sz w:val="22"/>
          <w:szCs w:val="22"/>
        </w:rPr>
        <w:t>,  find one more</w:t>
      </w:r>
      <w:r w:rsidR="00A2507F">
        <w:rPr>
          <w:rFonts w:ascii="Arial" w:hAnsi="Arial" w:cs="Arial"/>
          <w:sz w:val="22"/>
          <w:szCs w:val="22"/>
        </w:rPr>
        <w:t>). Additionally, limited English proficiency</w:t>
      </w:r>
      <w:r w:rsidR="00FB5964">
        <w:rPr>
          <w:rFonts w:ascii="Arial" w:hAnsi="Arial" w:cs="Arial"/>
          <w:sz w:val="22"/>
          <w:szCs w:val="22"/>
        </w:rPr>
        <w:t xml:space="preserve">, a key barrier to health </w:t>
      </w:r>
      <w:r w:rsidR="00017E1C">
        <w:rPr>
          <w:rFonts w:ascii="Arial" w:hAnsi="Arial" w:cs="Arial"/>
          <w:sz w:val="22"/>
          <w:szCs w:val="22"/>
        </w:rPr>
        <w:t>care, alone</w:t>
      </w:r>
      <w:r w:rsidR="00A2507F">
        <w:rPr>
          <w:rFonts w:ascii="Arial" w:hAnsi="Arial" w:cs="Arial"/>
          <w:sz w:val="22"/>
          <w:szCs w:val="22"/>
        </w:rPr>
        <w:t xml:space="preserve"> and across </w:t>
      </w:r>
      <w:r w:rsidR="00017E1C">
        <w:rPr>
          <w:rFonts w:ascii="Arial" w:hAnsi="Arial" w:cs="Arial"/>
          <w:sz w:val="22"/>
          <w:szCs w:val="22"/>
        </w:rPr>
        <w:t xml:space="preserve">multi-ethnic </w:t>
      </w:r>
      <w:r w:rsidR="00A2507F">
        <w:rPr>
          <w:rFonts w:ascii="Arial" w:hAnsi="Arial" w:cs="Arial"/>
          <w:sz w:val="22"/>
          <w:szCs w:val="22"/>
        </w:rPr>
        <w:t>groups</w:t>
      </w:r>
      <w:r w:rsidR="00FB5964">
        <w:rPr>
          <w:rFonts w:ascii="Arial" w:hAnsi="Arial" w:cs="Arial"/>
          <w:sz w:val="22"/>
          <w:szCs w:val="22"/>
        </w:rPr>
        <w:t>,</w:t>
      </w:r>
      <w:r w:rsidR="00A2507F">
        <w:rPr>
          <w:rFonts w:ascii="Arial" w:hAnsi="Arial" w:cs="Arial"/>
          <w:sz w:val="22"/>
          <w:szCs w:val="22"/>
        </w:rPr>
        <w:t xml:space="preserve"> is associated with low health literacy and poor health. </w:t>
      </w:r>
      <w:r w:rsidR="00017E1C">
        <w:rPr>
          <w:rFonts w:ascii="Arial" w:hAnsi="Arial" w:cs="Arial"/>
          <w:sz w:val="22"/>
          <w:szCs w:val="22"/>
        </w:rPr>
        <w:t>(</w:t>
      </w:r>
      <w:hyperlink r:id="rId14" w:history="1">
        <w:r w:rsidR="00017E1C" w:rsidRPr="00DB2E28">
          <w:rPr>
            <w:rStyle w:val="Hyperlink"/>
            <w:rFonts w:ascii="Arial" w:hAnsi="Arial" w:cs="Arial"/>
            <w:sz w:val="22"/>
            <w:szCs w:val="22"/>
          </w:rPr>
          <w:t>https://www.tandfonline.com/doi/full/10.1080/10810730.2012.712621</w:t>
        </w:r>
      </w:hyperlink>
      <w:r w:rsidR="00017E1C">
        <w:rPr>
          <w:rFonts w:ascii="Arial" w:hAnsi="Arial" w:cs="Arial"/>
          <w:sz w:val="22"/>
          <w:szCs w:val="22"/>
        </w:rPr>
        <w:t>,</w:t>
      </w:r>
      <w:r w:rsidR="00017E1C" w:rsidRPr="00017E1C">
        <w:t xml:space="preserve"> </w:t>
      </w:r>
      <w:hyperlink r:id="rId15" w:history="1">
        <w:r w:rsidR="00017E1C" w:rsidRPr="00DB2E28">
          <w:rPr>
            <w:rStyle w:val="Hyperlink"/>
            <w:rFonts w:ascii="Arial" w:hAnsi="Arial" w:cs="Arial"/>
            <w:sz w:val="22"/>
            <w:szCs w:val="22"/>
          </w:rPr>
          <w:t>https://pubmed.ncbi.nlm.nih.gov/38338249/</w:t>
        </w:r>
      </w:hyperlink>
      <w:r w:rsidR="00017E1C">
        <w:rPr>
          <w:rFonts w:ascii="Arial" w:hAnsi="Arial" w:cs="Arial"/>
          <w:sz w:val="22"/>
          <w:szCs w:val="22"/>
        </w:rPr>
        <w:t>)</w:t>
      </w:r>
      <w:r w:rsidR="003E2788">
        <w:rPr>
          <w:rFonts w:ascii="Arial" w:hAnsi="Arial" w:cs="Arial"/>
          <w:sz w:val="22"/>
          <w:szCs w:val="22"/>
        </w:rPr>
        <w:t xml:space="preserve"> </w:t>
      </w:r>
      <w:r w:rsidR="005D6289">
        <w:rPr>
          <w:rFonts w:ascii="Arial" w:hAnsi="Arial" w:cs="Arial"/>
          <w:sz w:val="22"/>
          <w:szCs w:val="22"/>
        </w:rPr>
        <w:t xml:space="preserve">We rank neighborhoods within a cluster as having low cultural advantage if the </w:t>
      </w:r>
      <w:r w:rsidR="005D6289" w:rsidRPr="00207DD2">
        <w:rPr>
          <w:rFonts w:ascii="Arial" w:hAnsi="Arial" w:cs="Arial"/>
          <w:color w:val="4C94D8" w:themeColor="text2" w:themeTint="80"/>
          <w:sz w:val="22"/>
          <w:szCs w:val="22"/>
        </w:rPr>
        <w:t xml:space="preserve">cluster is characterized by a combination of probability values that indicate a high level of exposure to NSDoH variables such as </w:t>
      </w:r>
      <w:r w:rsidR="005D6289">
        <w:rPr>
          <w:rFonts w:ascii="Arial" w:hAnsi="Arial" w:cs="Arial"/>
          <w:color w:val="4C94D8" w:themeColor="text2" w:themeTint="80"/>
          <w:sz w:val="22"/>
          <w:szCs w:val="22"/>
        </w:rPr>
        <w:t>limited English proficiency, female household</w:t>
      </w:r>
      <w:r w:rsidR="003E2788">
        <w:rPr>
          <w:rFonts w:ascii="Arial" w:hAnsi="Arial" w:cs="Arial"/>
          <w:color w:val="4C94D8" w:themeColor="text2" w:themeTint="80"/>
          <w:sz w:val="22"/>
          <w:szCs w:val="22"/>
        </w:rPr>
        <w:t>s</w:t>
      </w:r>
      <w:r w:rsidR="005D6289">
        <w:rPr>
          <w:rFonts w:ascii="Arial" w:hAnsi="Arial" w:cs="Arial"/>
          <w:color w:val="4C94D8" w:themeColor="text2" w:themeTint="80"/>
          <w:sz w:val="22"/>
          <w:szCs w:val="22"/>
        </w:rPr>
        <w:t xml:space="preserve">, and at least 2 ethnic minorities. </w:t>
      </w:r>
    </w:p>
    <w:p w14:paraId="2BF29F73" w14:textId="77777777" w:rsidR="00017E1C" w:rsidRDefault="00017E1C" w:rsidP="00B33BE2">
      <w:pPr>
        <w:rPr>
          <w:rFonts w:ascii="Arial" w:hAnsi="Arial" w:cs="Arial"/>
          <w:sz w:val="22"/>
          <w:szCs w:val="22"/>
        </w:rPr>
      </w:pPr>
    </w:p>
    <w:p w14:paraId="44EE862B" w14:textId="01463B47" w:rsidR="00DF6344" w:rsidRDefault="00DF6344" w:rsidP="00B33BE2">
      <w:pPr>
        <w:rPr>
          <w:rFonts w:ascii="Arial" w:hAnsi="Arial" w:cs="Arial"/>
          <w:b/>
          <w:bCs/>
          <w:sz w:val="22"/>
          <w:szCs w:val="22"/>
        </w:rPr>
      </w:pPr>
    </w:p>
    <w:p w14:paraId="34AF78D7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1B309FD" w14:textId="77777777" w:rsidR="00757624" w:rsidRPr="00AD3A39" w:rsidRDefault="00757624" w:rsidP="0075762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then used these codes to rank clusters based on the distribution of indicators that define the codes.</w:t>
      </w:r>
    </w:p>
    <w:p w14:paraId="1CB5979D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EEDD1FE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5394E4C3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617BA5B1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3EB3A1AE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38D3F48C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269B1D7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40CBC021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10C1ADD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12B0EA2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C88A404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DFD0CE0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C6A882D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56A9D04D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B4DC7DB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70BB8FD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8031B31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3452739F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A4683EE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8259B88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508A7F75" w14:textId="77777777" w:rsidR="00CE37C9" w:rsidRDefault="00CE37C9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6D621E7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237EF97F" w14:textId="44B60A8A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Limitations of these results</w:t>
      </w:r>
    </w:p>
    <w:p w14:paraId="3FC55B1A" w14:textId="77777777" w:rsidR="00F515D0" w:rsidRDefault="00F515D0" w:rsidP="00B33BE2">
      <w:pPr>
        <w:rPr>
          <w:rFonts w:ascii="Arial" w:hAnsi="Arial" w:cs="Arial"/>
          <w:b/>
          <w:bCs/>
          <w:sz w:val="22"/>
          <w:szCs w:val="22"/>
        </w:rPr>
      </w:pPr>
    </w:p>
    <w:p w14:paraId="17A7B853" w14:textId="110BE29B" w:rsidR="00F515D0" w:rsidRPr="00F515D0" w:rsidRDefault="00F515D0" w:rsidP="00F515D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515D0">
        <w:rPr>
          <w:rFonts w:ascii="Arial" w:hAnsi="Arial" w:cs="Arial"/>
          <w:sz w:val="22"/>
          <w:szCs w:val="22"/>
        </w:rPr>
        <w:t>We observed some heterogeneity within clusters</w:t>
      </w:r>
    </w:p>
    <w:p w14:paraId="158B598D" w14:textId="38DDD2FA" w:rsidR="00F515D0" w:rsidRDefault="00F515D0" w:rsidP="00F515D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A7798">
        <w:rPr>
          <w:rFonts w:ascii="Arial" w:hAnsi="Arial" w:cs="Arial"/>
          <w:sz w:val="22"/>
          <w:szCs w:val="22"/>
        </w:rPr>
        <w:t xml:space="preserve">Low </w:t>
      </w:r>
      <w:r w:rsidR="00CA7798" w:rsidRPr="00CA7798">
        <w:rPr>
          <w:rFonts w:ascii="Arial" w:hAnsi="Arial" w:cs="Arial"/>
          <w:sz w:val="22"/>
          <w:szCs w:val="22"/>
        </w:rPr>
        <w:t xml:space="preserve">posterior </w:t>
      </w:r>
      <w:r w:rsidRPr="00CA7798">
        <w:rPr>
          <w:rFonts w:ascii="Arial" w:hAnsi="Arial" w:cs="Arial"/>
          <w:sz w:val="22"/>
          <w:szCs w:val="22"/>
        </w:rPr>
        <w:t xml:space="preserve">assignment probabilities </w:t>
      </w:r>
      <w:r w:rsidR="00CA7798" w:rsidRPr="00CA7798">
        <w:rPr>
          <w:rFonts w:ascii="Arial" w:hAnsi="Arial" w:cs="Arial"/>
          <w:sz w:val="22"/>
          <w:szCs w:val="22"/>
        </w:rPr>
        <w:t>leading to uncertainty in cluster assignment</w:t>
      </w:r>
    </w:p>
    <w:p w14:paraId="04A9688D" w14:textId="577EA87E" w:rsidR="00CA7798" w:rsidRDefault="00CA7798" w:rsidP="00F515D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Too many clusters; we do not have a large sample size (# of census tracts) and thus as the data is spread thin across so many clusters, we ended up with small clusters and clusters with higher within-cluster variability, and therefore more difficult to interpret</w:t>
      </w:r>
    </w:p>
    <w:p w14:paraId="7226881C" w14:textId="23C9B328" w:rsidR="00D246C6" w:rsidRDefault="00D246C6" w:rsidP="00F515D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Other variables to consider for future models: </w:t>
      </w:r>
    </w:p>
    <w:p w14:paraId="4857E16C" w14:textId="53508962" w:rsidR="00D246C6" w:rsidRDefault="00D246C6" w:rsidP="00D246C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Nativity</w:t>
      </w:r>
      <w:r w:rsidR="00DD5F11">
        <w:rPr>
          <w:rFonts w:ascii="Arial" w:hAnsi="Arial" w:cs="Arial"/>
          <w:sz w:val="22"/>
          <w:szCs w:val="22"/>
        </w:rPr>
        <w:t xml:space="preserve">—this along with language could help us disentangle clusters that are clearly made of census tracts </w:t>
      </w:r>
      <w:r w:rsidR="00F0411E">
        <w:rPr>
          <w:rFonts w:ascii="Arial" w:hAnsi="Arial" w:cs="Arial"/>
          <w:sz w:val="22"/>
          <w:szCs w:val="22"/>
        </w:rPr>
        <w:t>wit</w:t>
      </w:r>
      <w:r w:rsidR="00DD5F11">
        <w:rPr>
          <w:rFonts w:ascii="Arial" w:hAnsi="Arial" w:cs="Arial"/>
          <w:sz w:val="22"/>
          <w:szCs w:val="22"/>
        </w:rPr>
        <w:t>h high immigrant density</w:t>
      </w:r>
    </w:p>
    <w:p w14:paraId="65B4369F" w14:textId="6616AB27" w:rsidR="00D246C6" w:rsidRDefault="00D246C6" w:rsidP="00421B3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Other language variables. The language variable currently used in the </w:t>
      </w:r>
      <w:r w:rsidR="00F0411E">
        <w:rPr>
          <w:rFonts w:ascii="Arial" w:hAnsi="Arial" w:cs="Arial"/>
          <w:sz w:val="22"/>
          <w:szCs w:val="22"/>
        </w:rPr>
        <w:t>model measures</w:t>
      </w:r>
      <w:r w:rsidR="00DD5F11">
        <w:rPr>
          <w:rFonts w:ascii="Arial" w:hAnsi="Arial" w:cs="Arial"/>
          <w:sz w:val="22"/>
          <w:szCs w:val="22"/>
        </w:rPr>
        <w:t xml:space="preserve"> l</w:t>
      </w:r>
      <w:r w:rsidR="00DD5F11" w:rsidRPr="00DD5F11">
        <w:rPr>
          <w:rFonts w:ascii="Arial" w:hAnsi="Arial" w:cs="Arial"/>
          <w:sz w:val="22"/>
          <w:szCs w:val="22"/>
        </w:rPr>
        <w:t xml:space="preserve">anguage </w:t>
      </w:r>
      <w:r w:rsidR="00DD5F11">
        <w:rPr>
          <w:rFonts w:ascii="Arial" w:hAnsi="Arial" w:cs="Arial"/>
          <w:sz w:val="22"/>
          <w:szCs w:val="22"/>
        </w:rPr>
        <w:t>s</w:t>
      </w:r>
      <w:r w:rsidR="00DD5F11" w:rsidRPr="00DD5F11">
        <w:rPr>
          <w:rFonts w:ascii="Arial" w:hAnsi="Arial" w:cs="Arial"/>
          <w:sz w:val="22"/>
          <w:szCs w:val="22"/>
        </w:rPr>
        <w:t xml:space="preserve">poken at </w:t>
      </w:r>
      <w:r w:rsidR="00DD5F11">
        <w:rPr>
          <w:rFonts w:ascii="Arial" w:hAnsi="Arial" w:cs="Arial"/>
          <w:sz w:val="22"/>
          <w:szCs w:val="22"/>
        </w:rPr>
        <w:t>h</w:t>
      </w:r>
      <w:r w:rsidR="00DD5F11" w:rsidRPr="00DD5F11">
        <w:rPr>
          <w:rFonts w:ascii="Arial" w:hAnsi="Arial" w:cs="Arial"/>
          <w:sz w:val="22"/>
          <w:szCs w:val="22"/>
        </w:rPr>
        <w:t xml:space="preserve">ome and </w:t>
      </w:r>
      <w:r w:rsidR="00DD5F11">
        <w:rPr>
          <w:rFonts w:ascii="Arial" w:hAnsi="Arial" w:cs="Arial"/>
          <w:sz w:val="22"/>
          <w:szCs w:val="22"/>
        </w:rPr>
        <w:t>a</w:t>
      </w:r>
      <w:r w:rsidR="00DD5F11" w:rsidRPr="00DD5F11">
        <w:rPr>
          <w:rFonts w:ascii="Arial" w:hAnsi="Arial" w:cs="Arial"/>
          <w:sz w:val="22"/>
          <w:szCs w:val="22"/>
        </w:rPr>
        <w:t xml:space="preserve">bility to </w:t>
      </w:r>
      <w:r w:rsidR="00DD5F11">
        <w:rPr>
          <w:rFonts w:ascii="Arial" w:hAnsi="Arial" w:cs="Arial"/>
          <w:sz w:val="22"/>
          <w:szCs w:val="22"/>
        </w:rPr>
        <w:t>s</w:t>
      </w:r>
      <w:r w:rsidR="00DD5F11" w:rsidRPr="00DD5F11">
        <w:rPr>
          <w:rFonts w:ascii="Arial" w:hAnsi="Arial" w:cs="Arial"/>
          <w:sz w:val="22"/>
          <w:szCs w:val="22"/>
        </w:rPr>
        <w:t xml:space="preserve">peak </w:t>
      </w:r>
      <w:r w:rsidR="00F0411E">
        <w:rPr>
          <w:rFonts w:ascii="Arial" w:hAnsi="Arial" w:cs="Arial"/>
          <w:sz w:val="22"/>
          <w:szCs w:val="22"/>
        </w:rPr>
        <w:t>E</w:t>
      </w:r>
      <w:r w:rsidR="00DD5F11" w:rsidRPr="00DD5F11">
        <w:rPr>
          <w:rFonts w:ascii="Arial" w:hAnsi="Arial" w:cs="Arial"/>
          <w:sz w:val="22"/>
          <w:szCs w:val="22"/>
        </w:rPr>
        <w:t xml:space="preserve">nglish </w:t>
      </w:r>
      <w:r w:rsidR="00DD5F11">
        <w:rPr>
          <w:rFonts w:ascii="Arial" w:hAnsi="Arial" w:cs="Arial"/>
          <w:sz w:val="22"/>
          <w:szCs w:val="22"/>
        </w:rPr>
        <w:t>r</w:t>
      </w:r>
      <w:r w:rsidR="00DD5F11" w:rsidRPr="00DD5F11">
        <w:rPr>
          <w:rFonts w:ascii="Arial" w:hAnsi="Arial" w:cs="Arial"/>
          <w:sz w:val="22"/>
          <w:szCs w:val="22"/>
        </w:rPr>
        <w:t xml:space="preserve">anked for Persons 5 Years and Over for </w:t>
      </w:r>
      <w:r w:rsidR="00F0411E">
        <w:rPr>
          <w:rFonts w:ascii="Arial" w:hAnsi="Arial" w:cs="Arial"/>
          <w:sz w:val="22"/>
          <w:szCs w:val="22"/>
        </w:rPr>
        <w:t xml:space="preserve">the </w:t>
      </w:r>
      <w:r w:rsidR="00DD5F11" w:rsidRPr="00DD5F11">
        <w:rPr>
          <w:rFonts w:ascii="Arial" w:hAnsi="Arial" w:cs="Arial"/>
          <w:sz w:val="22"/>
          <w:szCs w:val="22"/>
        </w:rPr>
        <w:t>United States</w:t>
      </w:r>
      <w:r w:rsidR="00DD5F11">
        <w:rPr>
          <w:rFonts w:ascii="Arial" w:hAnsi="Arial" w:cs="Arial"/>
          <w:sz w:val="22"/>
          <w:szCs w:val="22"/>
        </w:rPr>
        <w:t xml:space="preserve"> (and the rank included is “</w:t>
      </w:r>
      <w:r w:rsidR="00DD5F11" w:rsidRPr="00DD5F11">
        <w:rPr>
          <w:rFonts w:ascii="Arial" w:hAnsi="Arial" w:cs="Arial"/>
          <w:sz w:val="22"/>
          <w:szCs w:val="22"/>
        </w:rPr>
        <w:t>Speak English less than "very well"</w:t>
      </w:r>
      <w:proofErr w:type="gramStart"/>
      <w:r w:rsidR="00DD5F11">
        <w:rPr>
          <w:rFonts w:ascii="Arial" w:hAnsi="Arial" w:cs="Arial"/>
          <w:sz w:val="22"/>
          <w:szCs w:val="22"/>
        </w:rPr>
        <w:t xml:space="preserve">) </w:t>
      </w:r>
      <w:r w:rsidR="00F0411E">
        <w:rPr>
          <w:rFonts w:ascii="Arial" w:hAnsi="Arial" w:cs="Arial"/>
          <w:sz w:val="22"/>
          <w:szCs w:val="22"/>
        </w:rPr>
        <w:t>.</w:t>
      </w:r>
      <w:proofErr w:type="gramEnd"/>
    </w:p>
    <w:p w14:paraId="47DD99D0" w14:textId="77777777" w:rsidR="00BE505B" w:rsidRPr="00BE505B" w:rsidRDefault="00BE505B" w:rsidP="000166EE">
      <w:pPr>
        <w:pStyle w:val="ListParagraph"/>
        <w:ind w:left="400"/>
        <w:rPr>
          <w:color w:val="000000"/>
        </w:rPr>
      </w:pPr>
    </w:p>
    <w:p w14:paraId="74F8C902" w14:textId="77777777" w:rsidR="00C13AC0" w:rsidRDefault="00C13AC0" w:rsidP="00BE505B">
      <w:pPr>
        <w:rPr>
          <w:rFonts w:ascii="Arial" w:hAnsi="Arial" w:cs="Arial"/>
          <w:sz w:val="22"/>
          <w:szCs w:val="22"/>
        </w:rPr>
      </w:pPr>
    </w:p>
    <w:p w14:paraId="312BA395" w14:textId="4F51B6F5" w:rsidR="000166EE" w:rsidRPr="000166EE" w:rsidRDefault="000166EE" w:rsidP="00BE505B">
      <w:pPr>
        <w:rPr>
          <w:rFonts w:ascii="Arial" w:hAnsi="Arial" w:cs="Arial"/>
          <w:b/>
          <w:bCs/>
          <w:sz w:val="22"/>
          <w:szCs w:val="22"/>
        </w:rPr>
      </w:pPr>
      <w:r w:rsidRPr="000166EE">
        <w:rPr>
          <w:rFonts w:ascii="Arial" w:hAnsi="Arial" w:cs="Arial"/>
          <w:b/>
          <w:bCs/>
          <w:sz w:val="22"/>
          <w:szCs w:val="22"/>
        </w:rPr>
        <w:t>Future directions and current work</w:t>
      </w:r>
    </w:p>
    <w:p w14:paraId="1CC49C6A" w14:textId="14284710" w:rsidR="000166EE" w:rsidRPr="000166EE" w:rsidRDefault="000166EE" w:rsidP="000166E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more </w:t>
      </w:r>
      <w:proofErr w:type="spellStart"/>
      <w:r>
        <w:rPr>
          <w:rFonts w:ascii="Arial" w:hAnsi="Arial" w:cs="Arial"/>
          <w:sz w:val="22"/>
          <w:szCs w:val="22"/>
        </w:rPr>
        <w:t>SDoH</w:t>
      </w:r>
      <w:proofErr w:type="spellEnd"/>
      <w:r>
        <w:rPr>
          <w:rFonts w:ascii="Arial" w:hAnsi="Arial" w:cs="Arial"/>
          <w:sz w:val="22"/>
          <w:szCs w:val="22"/>
        </w:rPr>
        <w:t xml:space="preserve"> variables: insurance, other ethnic groups, gender</w:t>
      </w:r>
    </w:p>
    <w:p w14:paraId="55E0DF56" w14:textId="77777777" w:rsidR="000166EE" w:rsidRDefault="000166EE" w:rsidP="00BE505B">
      <w:pPr>
        <w:rPr>
          <w:rFonts w:ascii="Arial" w:hAnsi="Arial" w:cs="Arial"/>
          <w:sz w:val="22"/>
          <w:szCs w:val="22"/>
        </w:rPr>
      </w:pPr>
    </w:p>
    <w:p w14:paraId="586DBD79" w14:textId="77777777" w:rsidR="00F84283" w:rsidRDefault="00F84283" w:rsidP="00BE505B">
      <w:pPr>
        <w:rPr>
          <w:rFonts w:ascii="Arial" w:hAnsi="Arial" w:cs="Arial"/>
          <w:sz w:val="22"/>
          <w:szCs w:val="22"/>
        </w:rPr>
      </w:pPr>
    </w:p>
    <w:p w14:paraId="0615E421" w14:textId="77777777" w:rsidR="00F84283" w:rsidRDefault="00F84283" w:rsidP="00BE505B">
      <w:pPr>
        <w:rPr>
          <w:rFonts w:ascii="Arial" w:hAnsi="Arial" w:cs="Arial"/>
          <w:sz w:val="22"/>
          <w:szCs w:val="22"/>
        </w:rPr>
      </w:pPr>
    </w:p>
    <w:p w14:paraId="19957268" w14:textId="5D9DDC40" w:rsidR="00F84283" w:rsidRPr="00F84283" w:rsidRDefault="00F84283" w:rsidP="00BE505B">
      <w:pPr>
        <w:rPr>
          <w:rFonts w:ascii="Arial" w:hAnsi="Arial" w:cs="Arial"/>
          <w:b/>
          <w:bCs/>
          <w:sz w:val="22"/>
          <w:szCs w:val="22"/>
        </w:rPr>
      </w:pPr>
      <w:r w:rsidRPr="00F84283">
        <w:rPr>
          <w:rFonts w:ascii="Arial" w:hAnsi="Arial" w:cs="Arial"/>
          <w:b/>
          <w:bCs/>
          <w:sz w:val="22"/>
          <w:szCs w:val="22"/>
        </w:rPr>
        <w:t>Results of optimal care analysis</w:t>
      </w:r>
    </w:p>
    <w:p w14:paraId="26C1EE25" w14:textId="78579101" w:rsidR="00C13AC0" w:rsidRPr="00BE505B" w:rsidRDefault="00C13AC0" w:rsidP="00C13AC0">
      <w:pPr>
        <w:rPr>
          <w:rFonts w:ascii="Arial" w:hAnsi="Arial" w:cs="Arial"/>
          <w:sz w:val="22"/>
          <w:szCs w:val="22"/>
        </w:rPr>
      </w:pPr>
    </w:p>
    <w:sectPr w:rsidR="00C13AC0" w:rsidRPr="00BE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12E7"/>
    <w:multiLevelType w:val="hybridMultilevel"/>
    <w:tmpl w:val="BA48E508"/>
    <w:lvl w:ilvl="0" w:tplc="2BFA8FBC">
      <w:start w:val="3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33173B"/>
    <w:multiLevelType w:val="hybridMultilevel"/>
    <w:tmpl w:val="218666C0"/>
    <w:lvl w:ilvl="0" w:tplc="A69C3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5B939FA"/>
    <w:multiLevelType w:val="multilevel"/>
    <w:tmpl w:val="D338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65F4E"/>
    <w:multiLevelType w:val="multilevel"/>
    <w:tmpl w:val="F01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A1D12"/>
    <w:multiLevelType w:val="hybridMultilevel"/>
    <w:tmpl w:val="DD14D0C2"/>
    <w:lvl w:ilvl="0" w:tplc="36060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028B"/>
    <w:multiLevelType w:val="hybridMultilevel"/>
    <w:tmpl w:val="46D6D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80760">
    <w:abstractNumId w:val="5"/>
  </w:num>
  <w:num w:numId="2" w16cid:durableId="905459360">
    <w:abstractNumId w:val="1"/>
  </w:num>
  <w:num w:numId="3" w16cid:durableId="673387457">
    <w:abstractNumId w:val="0"/>
  </w:num>
  <w:num w:numId="4" w16cid:durableId="469593937">
    <w:abstractNumId w:val="2"/>
  </w:num>
  <w:num w:numId="5" w16cid:durableId="6384613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877160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E2"/>
    <w:rsid w:val="000166EE"/>
    <w:rsid w:val="00017E1C"/>
    <w:rsid w:val="00030616"/>
    <w:rsid w:val="00057014"/>
    <w:rsid w:val="00067ED9"/>
    <w:rsid w:val="000D4F60"/>
    <w:rsid w:val="000D76A2"/>
    <w:rsid w:val="00107DD7"/>
    <w:rsid w:val="00114215"/>
    <w:rsid w:val="001363A8"/>
    <w:rsid w:val="00157A51"/>
    <w:rsid w:val="001B3654"/>
    <w:rsid w:val="001C68FA"/>
    <w:rsid w:val="00201FD8"/>
    <w:rsid w:val="00207DD2"/>
    <w:rsid w:val="00261966"/>
    <w:rsid w:val="0026440A"/>
    <w:rsid w:val="00271F67"/>
    <w:rsid w:val="00274773"/>
    <w:rsid w:val="00307A2A"/>
    <w:rsid w:val="003644C4"/>
    <w:rsid w:val="00370BAC"/>
    <w:rsid w:val="00375865"/>
    <w:rsid w:val="00393C18"/>
    <w:rsid w:val="003C69C0"/>
    <w:rsid w:val="003E2788"/>
    <w:rsid w:val="003E72C7"/>
    <w:rsid w:val="003F71AF"/>
    <w:rsid w:val="00421B36"/>
    <w:rsid w:val="00470A47"/>
    <w:rsid w:val="004732B2"/>
    <w:rsid w:val="004A02D5"/>
    <w:rsid w:val="004E7674"/>
    <w:rsid w:val="00555769"/>
    <w:rsid w:val="0056732D"/>
    <w:rsid w:val="00594900"/>
    <w:rsid w:val="005D6289"/>
    <w:rsid w:val="00636C18"/>
    <w:rsid w:val="00665D39"/>
    <w:rsid w:val="00680B25"/>
    <w:rsid w:val="00683FBE"/>
    <w:rsid w:val="006A7BEA"/>
    <w:rsid w:val="006C6DC5"/>
    <w:rsid w:val="006E25A9"/>
    <w:rsid w:val="00757624"/>
    <w:rsid w:val="00760F76"/>
    <w:rsid w:val="008027AA"/>
    <w:rsid w:val="008232A1"/>
    <w:rsid w:val="008507B2"/>
    <w:rsid w:val="008B43A7"/>
    <w:rsid w:val="008B75C0"/>
    <w:rsid w:val="00950B68"/>
    <w:rsid w:val="0099769F"/>
    <w:rsid w:val="009C409F"/>
    <w:rsid w:val="00A2507F"/>
    <w:rsid w:val="00A45937"/>
    <w:rsid w:val="00A85638"/>
    <w:rsid w:val="00AD2E98"/>
    <w:rsid w:val="00AD3A39"/>
    <w:rsid w:val="00B33BE2"/>
    <w:rsid w:val="00B844B9"/>
    <w:rsid w:val="00BC172A"/>
    <w:rsid w:val="00BC5638"/>
    <w:rsid w:val="00BE505B"/>
    <w:rsid w:val="00BF2A08"/>
    <w:rsid w:val="00C05179"/>
    <w:rsid w:val="00C11261"/>
    <w:rsid w:val="00C13AC0"/>
    <w:rsid w:val="00C80FB5"/>
    <w:rsid w:val="00CA7798"/>
    <w:rsid w:val="00CB6B39"/>
    <w:rsid w:val="00CE37C9"/>
    <w:rsid w:val="00D246C6"/>
    <w:rsid w:val="00D257AF"/>
    <w:rsid w:val="00D62E48"/>
    <w:rsid w:val="00D76C18"/>
    <w:rsid w:val="00D876C9"/>
    <w:rsid w:val="00DC425C"/>
    <w:rsid w:val="00DD5F11"/>
    <w:rsid w:val="00DF6344"/>
    <w:rsid w:val="00E0106A"/>
    <w:rsid w:val="00E21885"/>
    <w:rsid w:val="00E4677F"/>
    <w:rsid w:val="00E537C8"/>
    <w:rsid w:val="00EC6B8B"/>
    <w:rsid w:val="00F0411E"/>
    <w:rsid w:val="00F17561"/>
    <w:rsid w:val="00F515D0"/>
    <w:rsid w:val="00F563BD"/>
    <w:rsid w:val="00F72843"/>
    <w:rsid w:val="00F746FA"/>
    <w:rsid w:val="00F84283"/>
    <w:rsid w:val="00F95B57"/>
    <w:rsid w:val="00FA354A"/>
    <w:rsid w:val="00FA4232"/>
    <w:rsid w:val="00FB5964"/>
    <w:rsid w:val="00FC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842B1"/>
  <w15:chartTrackingRefBased/>
  <w15:docId w15:val="{3036D643-5E71-9548-8688-8BDF33EF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5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B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B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B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B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B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B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B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BE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3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BE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3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B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7DD2"/>
    <w:rPr>
      <w:rFonts w:eastAsiaTheme="minorHAns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71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ph.harvard.edu/pgda/wp-content/uploads/sites/1288/2013/10/PGDA_WP_97.pdf" TargetMode="External"/><Relationship Id="rId13" Type="http://schemas.openxmlformats.org/officeDocument/2006/relationships/hyperlink" Target="https://www.ncbi.nlm.nih.gov/pmc/articles/PMC788008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social-sciences/wealth" TargetMode="External"/><Relationship Id="rId12" Type="http://schemas.openxmlformats.org/officeDocument/2006/relationships/hyperlink" Target="https://www.ncbi.nlm.nih.gov/pmc/articles/PMC772558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grams-surveys/sipp/information/sipp-survparticp-brochures/wealth-assets-ownership.html" TargetMode="External"/><Relationship Id="rId11" Type="http://schemas.openxmlformats.org/officeDocument/2006/relationships/hyperlink" Target="https://www.tandfonline.com/doi/full/10.1080/19371918.2015.1137518" TargetMode="External"/><Relationship Id="rId5" Type="http://schemas.openxmlformats.org/officeDocument/2006/relationships/hyperlink" Target="https://hdpulse.nimhd.nih.gov/" TargetMode="External"/><Relationship Id="rId15" Type="http://schemas.openxmlformats.org/officeDocument/2006/relationships/hyperlink" Target="https://pubmed.ncbi.nlm.nih.gov/38338249/" TargetMode="External"/><Relationship Id="rId10" Type="http://schemas.openxmlformats.org/officeDocument/2006/relationships/hyperlink" Target="https://www.mdpi.com/1660-4601/14/10/10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535299/" TargetMode="External"/><Relationship Id="rId14" Type="http://schemas.openxmlformats.org/officeDocument/2006/relationships/hyperlink" Target="https://www.tandfonline.com/doi/full/10.1080/10810730.2012.7126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60</cp:revision>
  <dcterms:created xsi:type="dcterms:W3CDTF">2024-09-04T19:04:00Z</dcterms:created>
  <dcterms:modified xsi:type="dcterms:W3CDTF">2024-09-16T19:52:00Z</dcterms:modified>
</cp:coreProperties>
</file>