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642" w:rsidRDefault="001A71EE">
      <w:pPr>
        <w:pStyle w:val="Heading1"/>
      </w:pPr>
      <w:bookmarkStart w:id="0" w:name="tables"/>
      <w:bookmarkStart w:id="1" w:name="_GoBack"/>
      <w:bookmarkEnd w:id="0"/>
      <w:bookmarkEnd w:id="1"/>
      <w:r>
        <w:t>Tables</w:t>
      </w:r>
    </w:p>
    <w:p w:rsidR="00F75642" w:rsidRDefault="001A71EE">
      <w:pPr>
        <w:pStyle w:val="FirstParagraph"/>
      </w:pPr>
      <w:r>
        <w:rPr>
          <w:i/>
        </w:rPr>
        <w:t>Table 1</w:t>
      </w:r>
      <w:r>
        <w:t xml:space="preserve"> Model comparison using the WAIC. LV: number of unconstrained latent variables.</w:t>
      </w:r>
    </w:p>
    <w:tbl>
      <w:tblPr>
        <w:tblW w:w="0" w:type="pct"/>
        <w:tblLook w:val="07E0" w:firstRow="1" w:lastRow="1" w:firstColumn="1" w:lastColumn="1" w:noHBand="1" w:noVBand="1"/>
      </w:tblPr>
      <w:tblGrid>
        <w:gridCol w:w="2944"/>
        <w:gridCol w:w="881"/>
      </w:tblGrid>
      <w:tr w:rsidR="00F75642">
        <w:tc>
          <w:tcPr>
            <w:tcW w:w="0" w:type="auto"/>
            <w:tcBorders>
              <w:bottom w:val="single" w:sz="0" w:space="0" w:color="auto"/>
            </w:tcBorders>
            <w:vAlign w:val="bottom"/>
          </w:tcPr>
          <w:p w:rsidR="00F75642" w:rsidRDefault="001A71EE">
            <w:pPr>
              <w:pStyle w:val="Compact"/>
            </w:pPr>
            <w:r>
              <w:t>Model</w:t>
            </w:r>
          </w:p>
        </w:tc>
        <w:tc>
          <w:tcPr>
            <w:tcW w:w="0" w:type="auto"/>
            <w:tcBorders>
              <w:bottom w:val="single" w:sz="0" w:space="0" w:color="auto"/>
            </w:tcBorders>
            <w:vAlign w:val="bottom"/>
          </w:tcPr>
          <w:p w:rsidR="00F75642" w:rsidRDefault="001A71EE">
            <w:pPr>
              <w:pStyle w:val="Compact"/>
            </w:pPr>
            <w:r>
              <w:t>WAIC</w:t>
            </w:r>
          </w:p>
        </w:tc>
      </w:tr>
      <w:tr w:rsidR="00F75642">
        <w:tc>
          <w:tcPr>
            <w:tcW w:w="0" w:type="auto"/>
          </w:tcPr>
          <w:p w:rsidR="00F75642" w:rsidRDefault="001A71EE">
            <w:pPr>
              <w:pStyle w:val="Compact"/>
            </w:pPr>
            <w:r>
              <w:t>Bayesian ordination, 2 LVs</w:t>
            </w:r>
          </w:p>
        </w:tc>
        <w:tc>
          <w:tcPr>
            <w:tcW w:w="0" w:type="auto"/>
          </w:tcPr>
          <w:p w:rsidR="00F75642" w:rsidRDefault="001A71EE">
            <w:pPr>
              <w:pStyle w:val="Compact"/>
            </w:pPr>
            <w:r>
              <w:t>15621</w:t>
            </w:r>
          </w:p>
        </w:tc>
      </w:tr>
      <w:tr w:rsidR="00F75642">
        <w:tc>
          <w:tcPr>
            <w:tcW w:w="0" w:type="auto"/>
          </w:tcPr>
          <w:p w:rsidR="00F75642" w:rsidRDefault="001A71EE">
            <w:pPr>
              <w:pStyle w:val="Compact"/>
            </w:pPr>
            <w:r>
              <w:t>Constrained model, 1 LV</w:t>
            </w:r>
          </w:p>
        </w:tc>
        <w:tc>
          <w:tcPr>
            <w:tcW w:w="0" w:type="auto"/>
          </w:tcPr>
          <w:p w:rsidR="00F75642" w:rsidRDefault="001A71EE">
            <w:pPr>
              <w:pStyle w:val="Compact"/>
            </w:pPr>
            <w:r>
              <w:t>15679</w:t>
            </w:r>
          </w:p>
        </w:tc>
      </w:tr>
      <w:tr w:rsidR="00F75642">
        <w:tc>
          <w:tcPr>
            <w:tcW w:w="0" w:type="auto"/>
          </w:tcPr>
          <w:p w:rsidR="00F75642" w:rsidRDefault="001A71EE">
            <w:pPr>
              <w:pStyle w:val="Compact"/>
            </w:pPr>
            <w:r>
              <w:t>Constrained model, 2 LV</w:t>
            </w:r>
          </w:p>
        </w:tc>
        <w:tc>
          <w:tcPr>
            <w:tcW w:w="0" w:type="auto"/>
          </w:tcPr>
          <w:p w:rsidR="00F75642" w:rsidRDefault="001A71EE">
            <w:pPr>
              <w:pStyle w:val="Compact"/>
            </w:pPr>
            <w:r>
              <w:t>12123</w:t>
            </w:r>
          </w:p>
        </w:tc>
      </w:tr>
      <w:tr w:rsidR="00F75642">
        <w:tc>
          <w:tcPr>
            <w:tcW w:w="0" w:type="auto"/>
          </w:tcPr>
          <w:p w:rsidR="00F75642" w:rsidRDefault="001A71EE">
            <w:pPr>
              <w:pStyle w:val="Compact"/>
            </w:pPr>
            <w:r>
              <w:t>Constrained model, 3 LV</w:t>
            </w:r>
          </w:p>
        </w:tc>
        <w:tc>
          <w:tcPr>
            <w:tcW w:w="0" w:type="auto"/>
          </w:tcPr>
          <w:p w:rsidR="00F75642" w:rsidRDefault="001A71EE">
            <w:pPr>
              <w:pStyle w:val="Compact"/>
            </w:pPr>
            <w:r>
              <w:t>10093</w:t>
            </w:r>
          </w:p>
        </w:tc>
      </w:tr>
      <w:tr w:rsidR="00F75642">
        <w:tc>
          <w:tcPr>
            <w:tcW w:w="0" w:type="auto"/>
          </w:tcPr>
          <w:p w:rsidR="00F75642" w:rsidRDefault="001A71EE">
            <w:pPr>
              <w:pStyle w:val="Compact"/>
            </w:pPr>
            <w:r>
              <w:t>Constrained model, 4 LV</w:t>
            </w:r>
          </w:p>
        </w:tc>
        <w:tc>
          <w:tcPr>
            <w:tcW w:w="0" w:type="auto"/>
          </w:tcPr>
          <w:p w:rsidR="00F75642" w:rsidRDefault="001A71EE">
            <w:pPr>
              <w:pStyle w:val="Compact"/>
            </w:pPr>
            <w:r>
              <w:t>8243</w:t>
            </w:r>
          </w:p>
        </w:tc>
      </w:tr>
    </w:tbl>
    <w:p w:rsidR="00F75642" w:rsidRDefault="001A71EE">
      <w:pPr>
        <w:pStyle w:val="Heading1"/>
      </w:pPr>
      <w:bookmarkStart w:id="2" w:name="figures"/>
      <w:bookmarkEnd w:id="2"/>
      <w:r>
        <w:lastRenderedPageBreak/>
        <w:t>Figures</w:t>
      </w:r>
    </w:p>
    <w:p w:rsidR="00F75642" w:rsidRDefault="001A71EE">
      <w:pPr>
        <w:pStyle w:val="FirstParagraph"/>
      </w:pPr>
      <w:r>
        <w:rPr>
          <w:noProof/>
        </w:rPr>
        <w:drawing>
          <wp:inline distT="0" distB="0" distL="0" distR="0">
            <wp:extent cx="5486400" cy="38404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5-1.png"/>
                    <pic:cNvPicPr>
                      <a:picLocks noChangeAspect="1" noChangeArrowheads="1"/>
                    </pic:cNvPicPr>
                  </pic:nvPicPr>
                  <pic:blipFill>
                    <a:blip r:embed="rId8"/>
                    <a:stretch>
                      <a:fillRect/>
                    </a:stretch>
                  </pic:blipFill>
                  <pic:spPr bwMode="auto">
                    <a:xfrm>
                      <a:off x="0" y="0"/>
                      <a:ext cx="5486400" cy="3840480"/>
                    </a:xfrm>
                    <a:prstGeom prst="rect">
                      <a:avLst/>
                    </a:prstGeom>
                    <a:noFill/>
                    <a:ln w="9525">
                      <a:noFill/>
                      <a:headEnd/>
                      <a:tailEnd/>
                    </a:ln>
                  </pic:spPr>
                </pic:pic>
              </a:graphicData>
            </a:graphic>
          </wp:inline>
        </w:drawing>
      </w:r>
    </w:p>
    <w:p w:rsidR="00F75642" w:rsidRDefault="001A71EE">
      <w:pPr>
        <w:pStyle w:val="BodyText"/>
      </w:pPr>
      <w:r>
        <w:rPr>
          <w:b/>
        </w:rPr>
        <w:t>Figure 1</w:t>
      </w:r>
      <w:r>
        <w:t xml:space="preserve"> </w:t>
      </w:r>
      <w:r>
        <w:t>Directed graph giving an example for the structure of our Bayesian latent variable model applied to coral reef habitats in Solomon Islands. Squares indicate measured variables, circles indicate latent variables, variables in italics also have error terms t</w:t>
      </w:r>
      <w:r>
        <w:t>hat are estimated from the data. Arrows indicate model effects, with gray and black arrows indicating the effects relating to different latent variables.</w:t>
      </w:r>
    </w:p>
    <w:p w:rsidR="00F75642" w:rsidRDefault="001A71EE">
      <w:pPr>
        <w:pStyle w:val="BodyText"/>
      </w:pPr>
      <w:r>
        <w:rPr>
          <w:noProof/>
        </w:rPr>
        <w:lastRenderedPageBreak/>
        <w:drawing>
          <wp:inline distT="0" distB="0" distL="0" distR="0">
            <wp:extent cx="5486400" cy="3291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6-1.png"/>
                    <pic:cNvPicPr>
                      <a:picLocks noChangeAspect="1" noChangeArrowheads="1"/>
                    </pic:cNvPicPr>
                  </pic:nvPicPr>
                  <pic:blipFill>
                    <a:blip r:embed="rId9"/>
                    <a:stretch>
                      <a:fillRect/>
                    </a:stretch>
                  </pic:blipFill>
                  <pic:spPr bwMode="auto">
                    <a:xfrm>
                      <a:off x="0" y="0"/>
                      <a:ext cx="5486400" cy="3291840"/>
                    </a:xfrm>
                    <a:prstGeom prst="rect">
                      <a:avLst/>
                    </a:prstGeom>
                    <a:noFill/>
                    <a:ln w="9525">
                      <a:noFill/>
                      <a:headEnd/>
                      <a:tailEnd/>
                    </a:ln>
                  </pic:spPr>
                </pic:pic>
              </a:graphicData>
            </a:graphic>
          </wp:inline>
        </w:drawing>
      </w:r>
    </w:p>
    <w:p w:rsidR="00F75642" w:rsidRDefault="001A71EE">
      <w:pPr>
        <w:pStyle w:val="BodyText"/>
      </w:pPr>
      <w:r>
        <w:rPr>
          <w:b/>
        </w:rPr>
        <w:t>Figure 2</w:t>
      </w:r>
      <w:r>
        <w:t xml:space="preserve"> Mean estimates and CIs for loadings of each habitat category on the (a) constrained latent </w:t>
      </w:r>
      <w:r>
        <w:t>variable and (b-c) two unconstrained latent variables. Loading signs on the constrained latent variable (a) are fixed so that positive values indicate a habitat's cover increases further from log-ponds.</w:t>
      </w:r>
    </w:p>
    <w:p w:rsidR="00F75642" w:rsidRDefault="001A71EE">
      <w:pPr>
        <w:pStyle w:val="BodyText"/>
      </w:pPr>
      <w:r>
        <w:rPr>
          <w:noProof/>
        </w:rPr>
        <w:drawing>
          <wp:inline distT="0" distB="0" distL="0" distR="0">
            <wp:extent cx="5486400" cy="1828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llution_footprint_tbls_figures_files/figure-docx/unnamed-chunk-7-1.png"/>
                    <pic:cNvPicPr>
                      <a:picLocks noChangeAspect="1" noChangeArrowheads="1"/>
                    </pic:cNvPicPr>
                  </pic:nvPicPr>
                  <pic:blipFill>
                    <a:blip r:embed="rId10"/>
                    <a:stretch>
                      <a:fillRect/>
                    </a:stretch>
                  </pic:blipFill>
                  <pic:spPr bwMode="auto">
                    <a:xfrm>
                      <a:off x="0" y="0"/>
                      <a:ext cx="5486400" cy="1828800"/>
                    </a:xfrm>
                    <a:prstGeom prst="rect">
                      <a:avLst/>
                    </a:prstGeom>
                    <a:noFill/>
                    <a:ln w="9525">
                      <a:noFill/>
                      <a:headEnd/>
                      <a:tailEnd/>
                    </a:ln>
                  </pic:spPr>
                </pic:pic>
              </a:graphicData>
            </a:graphic>
          </wp:inline>
        </w:drawing>
      </w:r>
    </w:p>
    <w:p w:rsidR="00F75642" w:rsidRDefault="001A71EE">
      <w:pPr>
        <w:pStyle w:val="BodyText"/>
      </w:pPr>
      <w:r>
        <w:rPr>
          <w:b/>
        </w:rPr>
        <w:t>Figure 3</w:t>
      </w:r>
      <w:r>
        <w:t xml:space="preserve"> Cover against distance to nearest log-pond</w:t>
      </w:r>
      <w:r>
        <w:t>s for habitats with a significant response to the latent variable for water quality. Significant was defined as 95% CIs not overlapping zero.</w:t>
      </w:r>
    </w:p>
    <w:p w:rsidR="00F75642" w:rsidRDefault="001A71EE">
      <w:pPr>
        <w:pStyle w:val="Figure"/>
      </w:pPr>
      <w:r>
        <w:rPr>
          <w:noProof/>
        </w:rPr>
        <w:lastRenderedPageBreak/>
        <w:drawing>
          <wp:inline distT="0" distB="0" distL="0" distR="0">
            <wp:extent cx="5486400" cy="5486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tentquantmap.png"/>
                    <pic:cNvPicPr>
                      <a:picLocks noChangeAspect="1" noChangeArrowheads="1"/>
                    </pic:cNvPicPr>
                  </pic:nvPicPr>
                  <pic:blipFill>
                    <a:blip r:embed="rId11"/>
                    <a:stretch>
                      <a:fillRect/>
                    </a:stretch>
                  </pic:blipFill>
                  <pic:spPr bwMode="auto">
                    <a:xfrm>
                      <a:off x="0" y="0"/>
                      <a:ext cx="5486400" cy="5486400"/>
                    </a:xfrm>
                    <a:prstGeom prst="rect">
                      <a:avLst/>
                    </a:prstGeom>
                    <a:noFill/>
                    <a:ln w="9525">
                      <a:noFill/>
                      <a:headEnd/>
                      <a:tailEnd/>
                    </a:ln>
                  </pic:spPr>
                </pic:pic>
              </a:graphicData>
            </a:graphic>
          </wp:inline>
        </w:drawing>
      </w:r>
    </w:p>
    <w:p w:rsidR="00F75642" w:rsidRDefault="001A71EE">
      <w:pPr>
        <w:pStyle w:val="FirstParagraph"/>
      </w:pPr>
      <w:r>
        <w:rPr>
          <w:b/>
        </w:rPr>
        <w:t>Figure 4</w:t>
      </w:r>
      <w:r>
        <w:t xml:space="preserve"> Map of study region showing log ponds, survey sites and probabilities that a reef is degraded. The spat</w:t>
      </w:r>
      <w:r>
        <w:t>ial field shows the probability that benthic communities are degraded, calculated by taking a probit transform over the constrained latent variable. The probabilities are predicted to all ocean areas (not just lagoonal reefs) for visualisation purposes. No</w:t>
      </w:r>
      <w:r>
        <w:t>te that uncertainty on the probability field is broad, but is not shown here for visualisation purposes.</w:t>
      </w:r>
    </w:p>
    <w:sectPr w:rsidR="00F756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A71EE">
      <w:pPr>
        <w:spacing w:after="0" w:line="240" w:lineRule="auto"/>
      </w:pPr>
      <w:r>
        <w:separator/>
      </w:r>
    </w:p>
  </w:endnote>
  <w:endnote w:type="continuationSeparator" w:id="0">
    <w:p w:rsidR="00000000" w:rsidRDefault="001A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642" w:rsidRDefault="001A71EE">
      <w:r>
        <w:separator/>
      </w:r>
    </w:p>
  </w:footnote>
  <w:footnote w:type="continuationSeparator" w:id="0">
    <w:p w:rsidR="00F75642" w:rsidRDefault="001A7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EA6BC5"/>
    <w:multiLevelType w:val="multilevel"/>
    <w:tmpl w:val="D41CBA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71EE"/>
    <w:rsid w:val="004E29B3"/>
    <w:rsid w:val="00590D07"/>
    <w:rsid w:val="00784D58"/>
    <w:rsid w:val="008D6863"/>
    <w:rsid w:val="00B86B75"/>
    <w:rsid w:val="00BC48D5"/>
    <w:rsid w:val="00C36279"/>
    <w:rsid w:val="00E315A3"/>
    <w:rsid w:val="00F756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Words>
  <Characters>1419</Characters>
  <Application>Microsoft Macintosh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Brown</dc:creator>
  <cp:lastModifiedBy>Chris Brown</cp:lastModifiedBy>
  <cp:revision>2</cp:revision>
  <dcterms:created xsi:type="dcterms:W3CDTF">2017-06-28T23:21:00Z</dcterms:created>
  <dcterms:modified xsi:type="dcterms:W3CDTF">2017-06-28T23:21:00Z</dcterms:modified>
</cp:coreProperties>
</file>