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OWL FRONT END/BACK END PROTOCOL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describes the current the JSON object creation as the back end currently utilizes them.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Inputs shall take the form of the database fields in the PDF document.  Fields which are not filled may be omitted.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“PlantId”:value,”Name”:”value”,”ColorFlower”:”value”,”ColorFoliage”:”value”,”ColorFruitSeed”:”value”,”TextureFoliage”:”value”,”Shape”:”value”,””Pattern”:”value”,”ImageURL”:”value”,”USState”:”value”,”Type”:”value”,”Description”:nul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{ColorFlower”:”value”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any field can be used, not just ColorFlower.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No entry: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back end shall return closed brackets [] (empty list)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[]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Single Entry: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back end shall return a JSON object inside a list (an object enclosed in brackets)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{“PlantId”:value,”Name”:”value”,”ColorFlower”:”value”,”ColorFoliage”:”value”,”ColorFruitSeed”:”value”,”TextureFoliage”:”value”,”Shape”:”value”,””Pattern”:”value”,”ImageURL”:”value”,”USState”:”value”,”Type”:”value”,”Description”:null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(Note description is currently always null).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Multiple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back end shall return JSON objects delimited by a comma inside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{“PlantId”:value,”Name”:”value”,”ColorFlower”:”value”,”ColorFoliage”:”value”,”ColorFruitSeed”:”value”,”TextureFoliage”:”value”,”Shape”:”value”,””Pattern”:”value”,”ImageURL”:”value”,”USState”:”value”,”Type”:”value”,”Description”:null},{“PlantId”:value,”Name”:”value”,”ColorFlower”:”value”,”ColorFoliage”:”value”,”ColorFruitSeed”:”value”,”TextureFoliage”:”value”,”Shape”:”value”,””Pattern”:”value”,”ImageURL”:”value”,”USState”:”value”,”Type”:”value”,”Description”:null}]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Error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back end shall return the message “Invalid Message!” in the event that it does not recognize the message.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