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Times New Roman" w:hAnsi="Times New Roman" w:cs="Times New Roman"/>
          <w:b w:val="0"/>
          <w:i w:val="0"/>
          <w:sz w:val="22"/>
        </w:rPr>
        <w:t>June 8, 2026</w:t>
      </w:r>
    </w:p>
    <w:p>
      <w:pPr>
        <w:spacing w:after="240" w:before="0"/>
      </w:pPr>
      <w:r>
        <w:rPr>
          <w:rFonts w:ascii="Times New Roman" w:hAnsi="Times New Roman" w:cs="Times New Roman"/>
          <w:b/>
          <w:i w:val="0"/>
          <w:sz w:val="22"/>
        </w:rPr>
        <w:t>Proposal to Lease 3987 Moreland Avenue</w:t>
      </w:r>
    </w:p>
    <w:tbl>
      <w:tblPr>
        <w:tblW w:type="auto" w:w="0"/>
        <w:jc w:val="left"/>
        <w:tblLook w:firstColumn="1" w:firstRow="1" w:lastColumn="0" w:lastRow="0" w:noHBand="0" w:noVBand="1" w:val="04A0"/>
        <w:tblLayout w:type="fixed"/>
      </w:tblPr>
      <w:tblGrid>
        <w:gridCol w:w="2975"/>
        <w:gridCol w:w="6532"/>
      </w:tblGrid>
      <w:tr>
        <w:tc>
          <w:tcPr>
            <w:tcW w:type="dxa" w:w="2975"/>
          </w:tcPr>
          <w:p>
            <w:pPr>
              <w:spacing w:after="200"/>
            </w:pPr>
            <w:r>
              <w:rPr>
                <w:rFonts w:ascii="Times New Roman" w:hAnsi="Times New Roman" w:cs="Times New Roman"/>
                <w:b/>
                <w:i w:val="0"/>
                <w:sz w:val="22"/>
              </w:rPr>
              <w:t>Building / Address:</w:t>
            </w:r>
          </w:p>
        </w:tc>
        <w:tc>
          <w:tcPr>
            <w:tcW w:type="dxa" w:w="6532"/>
          </w:tcPr>
          <w:p>
            <w:pPr>
              <w:spacing w:after="200"/>
            </w:pPr>
            <w:r>
              <w:rPr>
                <w:rFonts w:ascii="Times New Roman" w:hAnsi="Times New Roman" w:cs="Times New Roman"/>
                <w:b w:val="0"/>
                <w:i w:val="0"/>
                <w:sz w:val="22"/>
              </w:rPr>
              <w:t>3987 Moreland Avenue, [City], GA [Zip Code]</w:t>
            </w:r>
          </w:p>
        </w:tc>
      </w:tr>
      <w:tr>
        <w:tc>
          <w:tcPr>
            <w:tcW w:type="dxa" w:w="2975"/>
          </w:tcPr>
          <w:p>
            <w:pPr>
              <w:spacing w:after="200"/>
            </w:pPr>
            <w:r>
              <w:rPr>
                <w:rFonts w:ascii="Times New Roman" w:hAnsi="Times New Roman" w:cs="Times New Roman"/>
                <w:b/>
                <w:i w:val="0"/>
                <w:sz w:val="22"/>
              </w:rPr>
              <w:t>Landlord:</w:t>
            </w:r>
          </w:p>
        </w:tc>
        <w:tc>
          <w:tcPr>
            <w:tcW w:type="dxa" w:w="6532"/>
          </w:tcPr>
          <w:p>
            <w:pPr>
              <w:spacing w:after="200"/>
            </w:pPr>
            <w:r>
              <w:rPr>
                <w:rFonts w:ascii="Times New Roman" w:hAnsi="Times New Roman" w:cs="Times New Roman"/>
                <w:b w:val="0"/>
                <w:i w:val="0"/>
                <w:sz w:val="22"/>
              </w:rPr>
              <w:t>[Landlord Entity Name], L.L.C.</w:t>
            </w:r>
          </w:p>
        </w:tc>
      </w:tr>
      <w:tr>
        <w:tc>
          <w:tcPr>
            <w:tcW w:type="dxa" w:w="2975"/>
          </w:tcPr>
          <w:p>
            <w:pPr>
              <w:spacing w:after="200"/>
            </w:pPr>
            <w:r>
              <w:rPr>
                <w:rFonts w:ascii="Times New Roman" w:hAnsi="Times New Roman" w:cs="Times New Roman"/>
                <w:b/>
                <w:i w:val="0"/>
                <w:sz w:val="22"/>
              </w:rPr>
              <w:t>Tenant:</w:t>
            </w:r>
          </w:p>
        </w:tc>
        <w:tc>
          <w:tcPr>
            <w:tcW w:type="dxa" w:w="6532"/>
          </w:tcPr>
          <w:p>
            <w:pPr>
              <w:spacing w:after="200"/>
            </w:pPr>
            <w:r>
              <w:rPr>
                <w:rFonts w:ascii="Times New Roman" w:hAnsi="Times New Roman" w:cs="Times New Roman"/>
                <w:b w:val="0"/>
                <w:i w:val="0"/>
                <w:sz w:val="22"/>
              </w:rPr>
              <w:t>Trailco – Please provide the entity that will be on the lease</w:t>
            </w:r>
          </w:p>
        </w:tc>
      </w:tr>
      <w:tr>
        <w:tc>
          <w:tcPr>
            <w:tcW w:type="dxa" w:w="2975"/>
          </w:tcPr>
          <w:p>
            <w:pPr>
              <w:spacing w:after="200"/>
            </w:pPr>
            <w:r>
              <w:rPr>
                <w:rFonts w:ascii="Times New Roman" w:hAnsi="Times New Roman" w:cs="Times New Roman"/>
                <w:b/>
                <w:i w:val="0"/>
                <w:sz w:val="22"/>
              </w:rPr>
              <w:t>Premises:</w:t>
            </w:r>
          </w:p>
        </w:tc>
        <w:tc>
          <w:tcPr>
            <w:tcW w:type="dxa" w:w="6532"/>
          </w:tcPr>
          <w:p>
            <w:pPr>
              <w:spacing w:after="200"/>
            </w:pPr>
            <w:r>
              <w:rPr>
                <w:rFonts w:ascii="Times New Roman" w:hAnsi="Times New Roman" w:cs="Times New Roman"/>
                <w:b w:val="0"/>
                <w:i w:val="0"/>
                <w:sz w:val="22"/>
              </w:rPr>
              <w:t>Approximately [—] Square Feet located at 3987 Moreland Avenue (See Exhibit A)</w:t>
            </w:r>
          </w:p>
        </w:tc>
      </w:tr>
      <w:tr>
        <w:tc>
          <w:tcPr>
            <w:tcW w:type="dxa" w:w="2975"/>
          </w:tcPr>
          <w:p>
            <w:pPr>
              <w:spacing w:after="200"/>
            </w:pPr>
            <w:r>
              <w:rPr>
                <w:rFonts w:ascii="Times New Roman" w:hAnsi="Times New Roman" w:cs="Times New Roman"/>
                <w:b/>
                <w:i w:val="0"/>
                <w:sz w:val="22"/>
              </w:rPr>
              <w:t>Lease Term:</w:t>
            </w:r>
          </w:p>
        </w:tc>
        <w:tc>
          <w:tcPr>
            <w:tcW w:type="dxa" w:w="6532"/>
          </w:tcPr>
          <w:p>
            <w:pPr>
              <w:spacing w:after="200"/>
            </w:pPr>
            <w:r>
              <w:rPr>
                <w:rFonts w:ascii="Times New Roman" w:hAnsi="Times New Roman" w:cs="Times New Roman"/>
                <w:b w:val="0"/>
                <w:i w:val="0"/>
                <w:sz w:val="22"/>
              </w:rPr>
              <w:t>Thirty-Six (36) months from Lease Commencement Date</w:t>
            </w:r>
          </w:p>
        </w:tc>
      </w:tr>
      <w:tr>
        <w:tc>
          <w:tcPr>
            <w:tcW w:type="dxa" w:w="2975"/>
          </w:tcPr>
          <w:p>
            <w:pPr>
              <w:spacing w:after="200"/>
            </w:pPr>
            <w:r>
              <w:rPr>
                <w:rFonts w:ascii="Times New Roman" w:hAnsi="Times New Roman" w:cs="Times New Roman"/>
                <w:b/>
                <w:i w:val="0"/>
                <w:sz w:val="22"/>
              </w:rPr>
              <w:t>Lease Commencement Date:</w:t>
            </w:r>
          </w:p>
        </w:tc>
        <w:tc>
          <w:tcPr>
            <w:tcW w:type="dxa" w:w="6532"/>
          </w:tcPr>
          <w:p>
            <w:pPr>
              <w:spacing w:after="200"/>
            </w:pPr>
            <w:r>
              <w:rPr>
                <w:rFonts w:ascii="Times New Roman" w:hAnsi="Times New Roman" w:cs="Times New Roman"/>
                <w:b w:val="0"/>
                <w:i w:val="0"/>
                <w:sz w:val="22"/>
              </w:rPr>
              <w:t>October 1, 2026.</w:t>
            </w:r>
          </w:p>
          <w:p>
            <w:pPr>
              <w:spacing w:after="200"/>
            </w:pPr>
            <w:r>
              <w:rPr>
                <w:rFonts w:ascii="Times New Roman" w:hAnsi="Times New Roman" w:cs="Times New Roman"/>
                <w:b w:val="0"/>
                <w:i w:val="0"/>
                <w:sz w:val="22"/>
              </w:rPr>
              <w:t>Tenant shall have beneficial occupancy of the Premises upon execution of the lease, receipt of the certificate of insurance, security deposit, and first month’s rent.</w:t>
            </w:r>
          </w:p>
        </w:tc>
      </w:tr>
      <w:tr>
        <w:tc>
          <w:tcPr>
            <w:tcW w:type="dxa" w:w="2975"/>
          </w:tcPr>
          <w:p>
            <w:pPr>
              <w:spacing w:after="200"/>
            </w:pPr>
            <w:r>
              <w:rPr>
                <w:rFonts w:ascii="Times New Roman" w:hAnsi="Times New Roman" w:cs="Times New Roman"/>
                <w:b/>
                <w:i w:val="0"/>
                <w:sz w:val="22"/>
              </w:rPr>
              <w:t>Base Rent:</w:t>
            </w:r>
          </w:p>
        </w:tc>
        <w:tc>
          <w:tcPr>
            <w:tcW w:type="dxa" w:w="6532"/>
          </w:tcPr>
          <w:p>
            <w:pPr>
              <w:spacing w:after="200"/>
            </w:pPr>
            <w:r>
              <w:rPr>
                <w:rFonts w:ascii="Times New Roman" w:hAnsi="Times New Roman" w:cs="Times New Roman"/>
                <w:b w:val="0"/>
                <w:i w:val="0"/>
                <w:sz w:val="22"/>
              </w:rPr>
              <w:t>$28,500/month NNN</w:t>
            </w:r>
          </w:p>
        </w:tc>
      </w:tr>
      <w:tr>
        <w:tc>
          <w:tcPr>
            <w:tcW w:type="dxa" w:w="2975"/>
          </w:tcPr>
          <w:p>
            <w:pPr>
              <w:spacing w:after="200"/>
            </w:pPr>
            <w:r>
              <w:rPr>
                <w:rFonts w:ascii="Times New Roman" w:hAnsi="Times New Roman" w:cs="Times New Roman"/>
                <w:b/>
                <w:i w:val="0"/>
                <w:sz w:val="22"/>
              </w:rPr>
              <w:t>Base Rent Escalations:</w:t>
            </w:r>
          </w:p>
        </w:tc>
        <w:tc>
          <w:tcPr>
            <w:tcW w:type="dxa" w:w="6532"/>
          </w:tcPr>
          <w:p>
            <w:pPr>
              <w:spacing w:after="200"/>
            </w:pPr>
            <w:r>
              <w:rPr>
                <w:rFonts w:ascii="Times New Roman" w:hAnsi="Times New Roman" w:cs="Times New Roman"/>
                <w:b w:val="0"/>
                <w:i w:val="0"/>
                <w:sz w:val="22"/>
              </w:rPr>
              <w:t>4% annually</w:t>
            </w:r>
          </w:p>
        </w:tc>
      </w:tr>
      <w:tr>
        <w:tc>
          <w:tcPr>
            <w:tcW w:type="dxa" w:w="2975"/>
          </w:tcPr>
          <w:p>
            <w:pPr>
              <w:spacing w:after="200"/>
            </w:pPr>
            <w:r>
              <w:rPr>
                <w:rFonts w:ascii="Times New Roman" w:hAnsi="Times New Roman" w:cs="Times New Roman"/>
                <w:b/>
                <w:i w:val="0"/>
                <w:sz w:val="22"/>
              </w:rPr>
              <w:t>Operating Expenses:</w:t>
            </w:r>
          </w:p>
        </w:tc>
        <w:tc>
          <w:tcPr>
            <w:tcW w:type="dxa" w:w="6532"/>
          </w:tcPr>
          <w:p>
            <w:pPr>
              <w:spacing w:after="200"/>
            </w:pPr>
            <w:r>
              <w:rPr>
                <w:rFonts w:ascii="Times New Roman" w:hAnsi="Times New Roman" w:cs="Times New Roman"/>
                <w:b w:val="0"/>
                <w:i w:val="0"/>
                <w:sz w:val="22"/>
              </w:rPr>
              <w:t>$[—]/month</w:t>
            </w:r>
          </w:p>
        </w:tc>
      </w:tr>
      <w:tr>
        <w:tc>
          <w:tcPr>
            <w:tcW w:type="dxa" w:w="2975"/>
          </w:tcPr>
          <w:p>
            <w:pPr>
              <w:spacing w:after="200"/>
            </w:pPr>
            <w:r>
              <w:rPr>
                <w:rFonts w:ascii="Times New Roman" w:hAnsi="Times New Roman" w:cs="Times New Roman"/>
                <w:b/>
                <w:i w:val="0"/>
                <w:sz w:val="22"/>
              </w:rPr>
              <w:t>Security Deposit:</w:t>
            </w:r>
          </w:p>
        </w:tc>
        <w:tc>
          <w:tcPr>
            <w:tcW w:type="dxa" w:w="6532"/>
          </w:tcPr>
          <w:p>
            <w:pPr>
              <w:spacing w:after="200"/>
            </w:pPr>
            <w:r>
              <w:rPr>
                <w:rFonts w:ascii="Times New Roman" w:hAnsi="Times New Roman" w:cs="Times New Roman"/>
                <w:b w:val="0"/>
                <w:i w:val="0"/>
                <w:sz w:val="22"/>
              </w:rPr>
              <w:t>TBD upon review of Tenant’s Financials, but no less than One (1) Month’s Gross Rent</w:t>
            </w:r>
          </w:p>
        </w:tc>
      </w:tr>
      <w:tr>
        <w:tc>
          <w:tcPr>
            <w:tcW w:type="dxa" w:w="2975"/>
          </w:tcPr>
          <w:p>
            <w:pPr>
              <w:spacing w:after="200"/>
            </w:pPr>
            <w:r>
              <w:rPr>
                <w:rFonts w:ascii="Times New Roman" w:hAnsi="Times New Roman" w:cs="Times New Roman"/>
                <w:b/>
                <w:i w:val="0"/>
                <w:sz w:val="22"/>
              </w:rPr>
              <w:t>Landlord Termination Right:</w:t>
            </w:r>
          </w:p>
        </w:tc>
        <w:tc>
          <w:tcPr>
            <w:tcW w:type="dxa" w:w="6532"/>
          </w:tcPr>
          <w:p>
            <w:pPr>
              <w:spacing w:after="200"/>
            </w:pPr>
            <w:r>
              <w:rPr>
                <w:rFonts w:ascii="Times New Roman" w:hAnsi="Times New Roman" w:cs="Times New Roman"/>
                <w:b w:val="0"/>
                <w:i w:val="0"/>
                <w:sz w:val="22"/>
              </w:rPr>
              <w:t>Landlord shall have the right to terminate the Lease upon ninety (90) days’ prior written notice to Tenant. In the event Landlord exercises this termination right, Landlord shall pay Tenant a termination fee (buyout) of $150,000.00.</w:t>
            </w:r>
          </w:p>
        </w:tc>
      </w:tr>
      <w:tr>
        <w:tc>
          <w:tcPr>
            <w:tcW w:type="dxa" w:w="2975"/>
          </w:tcPr>
          <w:p>
            <w:pPr>
              <w:spacing w:after="200"/>
            </w:pPr>
            <w:r>
              <w:rPr>
                <w:rFonts w:ascii="Times New Roman" w:hAnsi="Times New Roman" w:cs="Times New Roman"/>
                <w:b/>
                <w:i w:val="0"/>
                <w:sz w:val="22"/>
              </w:rPr>
              <w:t>Tenant Responsibilities:</w:t>
            </w:r>
          </w:p>
        </w:tc>
        <w:tc>
          <w:tcPr>
            <w:tcW w:type="dxa" w:w="6532"/>
          </w:tcPr>
          <w:p>
            <w:pPr>
              <w:spacing w:after="200"/>
            </w:pPr>
            <w:r>
              <w:rPr>
                <w:rFonts w:ascii="Times New Roman" w:hAnsi="Times New Roman" w:cs="Times New Roman"/>
                <w:b w:val="0"/>
                <w:i w:val="0"/>
                <w:sz w:val="22"/>
              </w:rPr>
              <w:t>Tenant shall be responsible for the payment of basic operating expenses and utilities. Tenant shall also pay their proportionate share of real estate taxes and property insurance associated with the Premises.</w:t>
            </w:r>
          </w:p>
        </w:tc>
      </w:tr>
      <w:tr>
        <w:tc>
          <w:tcPr>
            <w:tcW w:type="dxa" w:w="2975"/>
          </w:tcPr>
          <w:p>
            <w:pPr>
              <w:spacing w:after="200"/>
            </w:pPr>
            <w:r>
              <w:rPr>
                <w:rFonts w:ascii="Times New Roman" w:hAnsi="Times New Roman" w:cs="Times New Roman"/>
                <w:b/>
                <w:i w:val="0"/>
                <w:sz w:val="22"/>
              </w:rPr>
              <w:t>Landlord Responsibilities:</w:t>
            </w:r>
          </w:p>
        </w:tc>
        <w:tc>
          <w:tcPr>
            <w:tcW w:type="dxa" w:w="6532"/>
          </w:tcPr>
          <w:p>
            <w:pPr>
              <w:spacing w:after="200"/>
            </w:pPr>
            <w:r>
              <w:rPr>
                <w:rFonts w:ascii="Times New Roman" w:hAnsi="Times New Roman" w:cs="Times New Roman"/>
                <w:b w:val="0"/>
                <w:i w:val="0"/>
                <w:sz w:val="22"/>
              </w:rPr>
              <w:t>Landlord shall, at its expense, keep in good order and repair the structural components of the Premises.</w:t>
            </w:r>
          </w:p>
        </w:tc>
      </w:tr>
      <w:tr>
        <w:tc>
          <w:tcPr>
            <w:tcW w:type="dxa" w:w="2975"/>
          </w:tcPr>
          <w:p>
            <w:pPr>
              <w:spacing w:after="200"/>
            </w:pPr>
            <w:r>
              <w:rPr>
                <w:rFonts w:ascii="Times New Roman" w:hAnsi="Times New Roman" w:cs="Times New Roman"/>
                <w:b/>
                <w:i w:val="0"/>
                <w:sz w:val="22"/>
              </w:rPr>
              <w:t>Assignment &amp; Subletting:</w:t>
            </w:r>
          </w:p>
        </w:tc>
        <w:tc>
          <w:tcPr>
            <w:tcW w:type="dxa" w:w="6532"/>
          </w:tcPr>
          <w:p>
            <w:pPr>
              <w:spacing w:after="200"/>
            </w:pPr>
            <w:r>
              <w:rPr>
                <w:rFonts w:ascii="Times New Roman" w:hAnsi="Times New Roman" w:cs="Times New Roman"/>
                <w:b w:val="0"/>
                <w:i w:val="0"/>
                <w:sz w:val="22"/>
              </w:rPr>
              <w:t>Tenant may sublease the Premises or assign the Lease to any other party subject to Landlord’s approval, which consent shall not be unreasonably withheld or delayed.</w:t>
            </w:r>
          </w:p>
        </w:tc>
      </w:tr>
      <w:tr>
        <w:tc>
          <w:tcPr>
            <w:tcW w:type="dxa" w:w="2975"/>
          </w:tcPr>
          <w:p>
            <w:pPr>
              <w:spacing w:after="200"/>
            </w:pPr>
            <w:r>
              <w:rPr>
                <w:rFonts w:ascii="Times New Roman" w:hAnsi="Times New Roman" w:cs="Times New Roman"/>
                <w:b/>
                <w:i w:val="0"/>
                <w:sz w:val="22"/>
              </w:rPr>
              <w:t>Premises Security &amp; Access:</w:t>
            </w:r>
          </w:p>
        </w:tc>
        <w:tc>
          <w:tcPr>
            <w:tcW w:type="dxa" w:w="6532"/>
          </w:tcPr>
          <w:p>
            <w:pPr>
              <w:spacing w:after="200"/>
            </w:pPr>
            <w:r>
              <w:rPr>
                <w:rFonts w:ascii="Times New Roman" w:hAnsi="Times New Roman" w:cs="Times New Roman"/>
                <w:b w:val="0"/>
                <w:i w:val="0"/>
                <w:sz w:val="22"/>
              </w:rPr>
              <w:t>Tenant’s authorized employees shall have access to the Premises twenty-four (24) hours per day, seven (7) days per week.</w:t>
            </w:r>
          </w:p>
        </w:tc>
      </w:tr>
      <w:tr>
        <w:tc>
          <w:tcPr>
            <w:tcW w:type="dxa" w:w="2975"/>
          </w:tcPr>
          <w:p>
            <w:pPr>
              <w:spacing w:after="200"/>
            </w:pPr>
            <w:r>
              <w:rPr>
                <w:rFonts w:ascii="Times New Roman" w:hAnsi="Times New Roman" w:cs="Times New Roman"/>
                <w:b/>
                <w:i w:val="0"/>
                <w:sz w:val="22"/>
              </w:rPr>
              <w:t>Brokerage Disclosure:</w:t>
            </w:r>
          </w:p>
        </w:tc>
        <w:tc>
          <w:tcPr>
            <w:tcW w:type="dxa" w:w="6532"/>
          </w:tcPr>
          <w:p>
            <w:pPr>
              <w:spacing w:after="200"/>
            </w:pPr>
            <w:r>
              <w:rPr>
                <w:rFonts w:ascii="Times New Roman" w:hAnsi="Times New Roman" w:cs="Times New Roman"/>
                <w:b w:val="0"/>
                <w:i w:val="0"/>
                <w:sz w:val="22"/>
              </w:rPr>
              <w:t>Landlord and Tenant acknowledge that Oakley Brokerage Partners, LLC is acting as agent to the Landlord and shall be paid a market commission by Landlord, pursuant to a separate commission agreement.</w:t>
            </w:r>
          </w:p>
        </w:tc>
      </w:tr>
      <w:tr>
        <w:tc>
          <w:tcPr>
            <w:tcW w:type="dxa" w:w="2975"/>
          </w:tcPr>
          <w:p>
            <w:pPr>
              <w:spacing w:after="200"/>
            </w:pPr>
            <w:r>
              <w:rPr>
                <w:rFonts w:ascii="Times New Roman" w:hAnsi="Times New Roman" w:cs="Times New Roman"/>
                <w:b/>
                <w:i w:val="0"/>
                <w:sz w:val="22"/>
              </w:rPr>
              <w:t>Conditions Precedent:</w:t>
            </w:r>
          </w:p>
        </w:tc>
        <w:tc>
          <w:tcPr>
            <w:tcW w:type="dxa" w:w="6532"/>
          </w:tcPr>
          <w:p>
            <w:pPr>
              <w:spacing w:after="200"/>
            </w:pPr>
            <w:r>
              <w:rPr>
                <w:rFonts w:ascii="Times New Roman" w:hAnsi="Times New Roman" w:cs="Times New Roman"/>
                <w:b w:val="0"/>
                <w:i w:val="0"/>
                <w:sz w:val="22"/>
              </w:rPr>
              <w:t>This letter does not create any legal rights or obligations between Landlord and Tenant, nor does this letter attempt to be comprehensive on those issues that are addressed. No binding agreement will exist unless and until the terms expressed herein and other essential terms are set forth in a definitive lease executed by both parties. This offer shall remain open for ten (10) business days.</w:t>
            </w:r>
          </w:p>
        </w:tc>
      </w:tr>
    </w:tbl>
    <w:p>
      <w:pPr>
        <w:spacing w:after="120" w:before="0"/>
      </w:pPr>
    </w:p>
    <w:p>
      <w:pPr>
        <w:spacing w:after="480" w:before="0"/>
      </w:pPr>
      <w:r>
        <w:rPr>
          <w:rFonts w:ascii="Times New Roman" w:hAnsi="Times New Roman" w:cs="Times New Roman"/>
          <w:b w:val="0"/>
          <w:i w:val="0"/>
          <w:sz w:val="22"/>
        </w:rPr>
        <w:t>Sincerely,</w:t>
      </w:r>
    </w:p>
    <w:p>
      <w:pPr>
        <w:spacing w:after="0" w:before="0"/>
      </w:pPr>
      <w:r>
        <w:rPr>
          <w:rFonts w:ascii="Times New Roman" w:hAnsi="Times New Roman" w:cs="Times New Roman"/>
          <w:b w:val="0"/>
          <w:i w:val="0"/>
          <w:sz w:val="22"/>
        </w:rPr>
        <w:t>Chase Burks</w:t>
      </w:r>
    </w:p>
    <w:p>
      <w:pPr>
        <w:spacing w:after="0" w:before="0"/>
      </w:pPr>
      <w:r>
        <w:rPr>
          <w:rFonts w:ascii="Times New Roman" w:hAnsi="Times New Roman" w:cs="Times New Roman"/>
          <w:b w:val="0"/>
          <w:i w:val="0"/>
          <w:sz w:val="22"/>
        </w:rPr>
        <w:t>Managing Director</w:t>
      </w:r>
    </w:p>
    <w:p>
      <w:pPr>
        <w:spacing w:after="0" w:before="0"/>
      </w:pPr>
      <w:r>
        <w:rPr>
          <w:rFonts w:ascii="Times New Roman" w:hAnsi="Times New Roman" w:cs="Times New Roman"/>
          <w:b w:val="0"/>
          <w:i w:val="0"/>
          <w:sz w:val="22"/>
        </w:rPr>
        <w:t>Oakley Real Estate Partners</w:t>
      </w:r>
    </w:p>
    <w:p>
      <w:r>
        <w:br w:type="page"/>
      </w:r>
    </w:p>
    <w:p>
      <w:pPr>
        <w:spacing w:after="240" w:before="0"/>
      </w:pPr>
      <w:r>
        <w:rPr>
          <w:rFonts w:ascii="Times New Roman" w:hAnsi="Times New Roman" w:cs="Times New Roman"/>
          <w:b/>
          <w:i w:val="0"/>
          <w:sz w:val="22"/>
        </w:rPr>
        <w:t>EXHIBIT A:</w:t>
      </w:r>
    </w:p>
    <w:p>
      <w:pPr>
        <w:spacing w:after="120" w:before="0"/>
      </w:pPr>
      <w:r>
        <w:rPr>
          <w:rFonts w:ascii="Times New Roman" w:hAnsi="Times New Roman" w:cs="Times New Roman"/>
          <w:b w:val="0"/>
          <w:i/>
          <w:sz w:val="22"/>
        </w:rPr>
        <w:t>[Insert Exhibit A — Premises site plan / aerial photo for 3987 Moreland Avenue]</w:t>
      </w:r>
    </w:p>
    <w:sectPr w:rsidR="00FC693F" w:rsidRPr="0006063C" w:rsidSect="00034616">
      <w:headerReference w:type="default" r:id="rId9"/>
      <w:footerReference w:type="default" r:id="rId10"/>
      <w:pgSz w:w="12240" w:h="15840"/>
      <w:pgMar w:top="1944" w:right="1440" w:bottom="1440" w:left="144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Bdr>
        <w:top w:val="single" w:sz="12" w:space="6" w:color="14532B"/>
      </w:pBdr>
    </w:pPr>
    <w:r>
      <w:rPr>
        <w:rFonts w:ascii="Times New Roman" w:hAnsi="Times New Roman"/>
        <w:b w:val="0"/>
        <w:color w:val="14532B"/>
        <w:sz w:val="16"/>
        <w:rFonts w:ascii="Times New Roman" w:hAnsi="Times New Roman" w:cs="Times New Roman"/>
        <w:spacing w:val="20"/>
      </w:rPr>
      <w:t>[Street Address]  ·  Atlanta, GA [Zip]  ·  [Phone]  ·  www.oakleyrep.com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center"/>
    </w:pPr>
    <w:r>
      <w:rPr>
        <w:rFonts w:ascii="Times New Roman" w:hAnsi="Times New Roman"/>
        <w:b/>
        <w:color w:val="14532B"/>
        <w:sz w:val="52"/>
        <w:rFonts w:ascii="Times New Roman" w:hAnsi="Times New Roman" w:cs="Times New Roman"/>
      </w:rPr>
      <w:t>oakley</w:t>
    </w:r>
  </w:p>
  <w:p>
    <w:pPr>
      <w:spacing w:after="80"/>
      <w:jc w:val="center"/>
      <w:pBdr>
        <w:bottom w:val="single" w:sz="12" w:space="6" w:color="14532B"/>
      </w:pBdr>
    </w:pPr>
    <w:r>
      <w:rPr>
        <w:rFonts w:ascii="Times New Roman" w:hAnsi="Times New Roman"/>
        <w:b/>
        <w:color w:val="14532B"/>
        <w:sz w:val="18"/>
        <w:rFonts w:ascii="Times New Roman" w:hAnsi="Times New Roman" w:cs="Times New Roman"/>
        <w:caps/>
        <w:spacing w:val="120"/>
      </w:rPr>
      <w:t>REAL ESTATE PARTNERS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