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8B0C3C0" w14:textId="31B8DED5" w:rsidR="00464C36" w:rsidRDefault="00A46E77" w:rsidP="00CE7164">
      <w:pPr>
        <w:pStyle w:val="Heading1"/>
        <w:jc w:val="center"/>
      </w:pPr>
      <w:r>
        <w:t>Access Information</w:t>
      </w:r>
    </w:p>
    <w:p w14:paraId="7052662D" w14:textId="77777777" w:rsidR="00464C36" w:rsidRDefault="00464C36" w:rsidP="00CE7164">
      <w:pPr>
        <w:jc w:val="center"/>
      </w:pPr>
    </w:p>
    <w:tbl>
      <w:tblPr>
        <w:tblStyle w:val="a6"/>
        <w:tblW w:w="8925" w:type="dxa"/>
        <w:tblInd w:w="-40" w:type="dxa"/>
        <w:tblLayout w:type="fixed"/>
        <w:tblLook w:val="0600" w:firstRow="0" w:lastRow="0" w:firstColumn="0" w:lastColumn="0" w:noHBand="1" w:noVBand="1"/>
      </w:tblPr>
      <w:tblGrid>
        <w:gridCol w:w="2400"/>
        <w:gridCol w:w="2360"/>
        <w:gridCol w:w="4165"/>
      </w:tblGrid>
      <w:tr w:rsidR="00464C36" w14:paraId="0A6C0D36" w14:textId="77777777" w:rsidTr="00C5772C">
        <w:trPr>
          <w:trHeight w:val="440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26CCDA" w14:textId="77777777" w:rsidR="00464C36" w:rsidRDefault="00A46E77" w:rsidP="00CE7164">
            <w:pPr>
              <w:spacing w:line="288" w:lineRule="auto"/>
              <w:contextualSpacing w:val="0"/>
              <w:jc w:val="center"/>
            </w:pPr>
            <w:r>
              <w:rPr>
                <w:b/>
                <w:color w:val="999999"/>
              </w:rPr>
              <w:t>Host</w:t>
            </w:r>
          </w:p>
        </w:tc>
        <w:tc>
          <w:tcPr>
            <w:tcW w:w="2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8D8E73" w14:textId="77777777" w:rsidR="00464C36" w:rsidRDefault="00A46E77" w:rsidP="00CE7164">
            <w:pPr>
              <w:spacing w:line="288" w:lineRule="auto"/>
              <w:contextualSpacing w:val="0"/>
              <w:jc w:val="center"/>
            </w:pPr>
            <w:r>
              <w:rPr>
                <w:b/>
                <w:color w:val="999999"/>
              </w:rPr>
              <w:t>IP address</w:t>
            </w:r>
          </w:p>
        </w:tc>
        <w:tc>
          <w:tcPr>
            <w:tcW w:w="4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9EC803" w14:textId="77777777" w:rsidR="00464C36" w:rsidRDefault="00A46E77" w:rsidP="00CE7164">
            <w:pPr>
              <w:spacing w:line="288" w:lineRule="auto"/>
              <w:contextualSpacing w:val="0"/>
              <w:jc w:val="center"/>
            </w:pPr>
            <w:r>
              <w:rPr>
                <w:b/>
                <w:color w:val="999999"/>
              </w:rPr>
              <w:t>Comment</w:t>
            </w:r>
          </w:p>
        </w:tc>
      </w:tr>
      <w:tr w:rsidR="00464C36" w14:paraId="5DA5AA80" w14:textId="77777777" w:rsidTr="00CE7164">
        <w:trPr>
          <w:trHeight w:val="530"/>
        </w:trPr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43764E" w14:textId="77777777" w:rsidR="00464C36" w:rsidRPr="00CE7164" w:rsidRDefault="00A46E77" w:rsidP="00CE7164">
            <w:pPr>
              <w:contextualSpacing w:val="0"/>
              <w:jc w:val="center"/>
              <w:rPr>
                <w:color w:val="BFBFBF" w:themeColor="background1" w:themeShade="BF"/>
                <w:sz w:val="20"/>
                <w:szCs w:val="20"/>
              </w:rPr>
            </w:pPr>
            <w:r w:rsidRPr="00CE7164">
              <w:rPr>
                <w:color w:val="BFBFBF" w:themeColor="background1" w:themeShade="BF"/>
                <w:sz w:val="20"/>
                <w:szCs w:val="20"/>
              </w:rPr>
              <w:t>Fuel UI master node URL</w:t>
            </w:r>
          </w:p>
        </w:tc>
        <w:tc>
          <w:tcPr>
            <w:tcW w:w="2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1E7630" w14:textId="4B73895D" w:rsidR="00464C36" w:rsidRPr="00CE7164" w:rsidRDefault="00C5772C" w:rsidP="00CE7164">
            <w:pPr>
              <w:contextualSpacing w:val="0"/>
              <w:jc w:val="center"/>
              <w:rPr>
                <w:color w:val="BFBFBF" w:themeColor="background1" w:themeShade="BF"/>
                <w:sz w:val="20"/>
                <w:szCs w:val="20"/>
              </w:rPr>
            </w:pPr>
            <w:r w:rsidRPr="00CE7164">
              <w:rPr>
                <w:color w:val="BFBFBF" w:themeColor="background1" w:themeShade="BF"/>
                <w:sz w:val="20"/>
                <w:szCs w:val="20"/>
              </w:rPr>
              <w:t>FUELURL</w:t>
            </w:r>
            <w:hyperlink r:id="rId7"/>
          </w:p>
        </w:tc>
        <w:tc>
          <w:tcPr>
            <w:tcW w:w="4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A8DFFD" w14:textId="77777777" w:rsidR="00464C36" w:rsidRPr="00CE7164" w:rsidRDefault="00464C36" w:rsidP="00CE7164">
            <w:pPr>
              <w:contextualSpacing w:val="0"/>
              <w:jc w:val="center"/>
              <w:rPr>
                <w:color w:val="BFBFBF" w:themeColor="background1" w:themeShade="BF"/>
                <w:sz w:val="20"/>
                <w:szCs w:val="20"/>
              </w:rPr>
            </w:pPr>
          </w:p>
        </w:tc>
      </w:tr>
      <w:tr w:rsidR="00464C36" w14:paraId="3CC5A756" w14:textId="77777777" w:rsidTr="00C5772C"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8AD62E" w14:textId="77777777" w:rsidR="00464C36" w:rsidRPr="00CE7164" w:rsidRDefault="00A46E77" w:rsidP="00CE7164">
            <w:pPr>
              <w:contextualSpacing w:val="0"/>
              <w:jc w:val="center"/>
              <w:rPr>
                <w:color w:val="BFBFBF" w:themeColor="background1" w:themeShade="BF"/>
                <w:sz w:val="20"/>
                <w:szCs w:val="20"/>
              </w:rPr>
            </w:pPr>
            <w:r w:rsidRPr="00CE7164">
              <w:rPr>
                <w:color w:val="BFBFBF" w:themeColor="background1" w:themeShade="BF"/>
                <w:sz w:val="20"/>
                <w:szCs w:val="20"/>
              </w:rPr>
              <w:t>Fuel UI credentials</w:t>
            </w:r>
          </w:p>
        </w:tc>
        <w:tc>
          <w:tcPr>
            <w:tcW w:w="2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4768D8" w14:textId="599EA6CA" w:rsidR="00464C36" w:rsidRPr="00CE7164" w:rsidRDefault="00C5772C" w:rsidP="00CE7164">
            <w:pPr>
              <w:contextualSpacing w:val="0"/>
              <w:jc w:val="center"/>
              <w:rPr>
                <w:color w:val="BFBFBF" w:themeColor="background1" w:themeShade="BF"/>
                <w:sz w:val="20"/>
                <w:szCs w:val="20"/>
              </w:rPr>
            </w:pPr>
            <w:r w:rsidRPr="00CE7164">
              <w:rPr>
                <w:color w:val="BFBFBF" w:themeColor="background1" w:themeShade="BF"/>
                <w:sz w:val="20"/>
                <w:szCs w:val="20"/>
              </w:rPr>
              <w:t>WEBUSER / &lt;WEBPW</w:t>
            </w:r>
            <w:r w:rsidR="00A46E77" w:rsidRPr="00CE7164">
              <w:rPr>
                <w:color w:val="BFBFBF" w:themeColor="background1" w:themeShade="BF"/>
                <w:sz w:val="20"/>
                <w:szCs w:val="20"/>
              </w:rPr>
              <w:t>&gt;</w:t>
            </w:r>
          </w:p>
        </w:tc>
        <w:tc>
          <w:tcPr>
            <w:tcW w:w="4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8E00E9" w14:textId="77777777" w:rsidR="00464C36" w:rsidRPr="00CE7164" w:rsidRDefault="00A46E77" w:rsidP="00CE7164">
            <w:pPr>
              <w:contextualSpacing w:val="0"/>
              <w:jc w:val="center"/>
              <w:rPr>
                <w:color w:val="BFBFBF" w:themeColor="background1" w:themeShade="BF"/>
                <w:sz w:val="20"/>
                <w:szCs w:val="20"/>
              </w:rPr>
            </w:pPr>
            <w:r w:rsidRPr="00CE7164">
              <w:rPr>
                <w:color w:val="BFBFBF" w:themeColor="background1" w:themeShade="BF"/>
                <w:sz w:val="20"/>
                <w:szCs w:val="20"/>
              </w:rPr>
              <w:t>Please see</w:t>
            </w:r>
            <w:hyperlink r:id="rId8" w:anchor="change-fuel-passwd-ug">
              <w:r w:rsidRPr="00CE7164">
                <w:rPr>
                  <w:color w:val="BFBFBF" w:themeColor="background1" w:themeShade="BF"/>
                  <w:sz w:val="20"/>
                  <w:szCs w:val="20"/>
                  <w:u w:val="single"/>
                </w:rPr>
                <w:t xml:space="preserve"> here</w:t>
              </w:r>
            </w:hyperlink>
            <w:r w:rsidRPr="00CE7164">
              <w:rPr>
                <w:color w:val="BFBFBF" w:themeColor="background1" w:themeShade="BF"/>
                <w:sz w:val="20"/>
                <w:szCs w:val="20"/>
                <w:u w:val="single"/>
                <w:vertAlign w:val="superscript"/>
              </w:rPr>
              <w:footnoteReference w:id="1"/>
            </w:r>
            <w:r w:rsidRPr="00CE7164">
              <w:rPr>
                <w:color w:val="BFBFBF" w:themeColor="background1" w:themeShade="BF"/>
                <w:sz w:val="20"/>
                <w:szCs w:val="20"/>
              </w:rPr>
              <w:t xml:space="preserve"> how to change Fuel password</w:t>
            </w:r>
          </w:p>
        </w:tc>
      </w:tr>
      <w:tr w:rsidR="00464C36" w14:paraId="2AF05966" w14:textId="77777777" w:rsidTr="00C5772C"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16D08" w14:textId="77777777" w:rsidR="00464C36" w:rsidRPr="00CE7164" w:rsidRDefault="00A46E77" w:rsidP="00CE7164">
            <w:pPr>
              <w:contextualSpacing w:val="0"/>
              <w:jc w:val="center"/>
              <w:rPr>
                <w:color w:val="BFBFBF" w:themeColor="background1" w:themeShade="BF"/>
                <w:sz w:val="20"/>
                <w:szCs w:val="20"/>
              </w:rPr>
            </w:pPr>
            <w:r w:rsidRPr="00CE7164">
              <w:rPr>
                <w:color w:val="BFBFBF" w:themeColor="background1" w:themeShade="BF"/>
                <w:sz w:val="20"/>
                <w:szCs w:val="20"/>
              </w:rPr>
              <w:t>Fuel Master node IP address</w:t>
            </w:r>
          </w:p>
        </w:tc>
        <w:tc>
          <w:tcPr>
            <w:tcW w:w="2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B076C5" w14:textId="3A0FADC7" w:rsidR="00464C36" w:rsidRPr="00CE7164" w:rsidRDefault="00C5772C" w:rsidP="00CE7164">
            <w:pPr>
              <w:contextualSpacing w:val="0"/>
              <w:jc w:val="center"/>
              <w:rPr>
                <w:color w:val="BFBFBF" w:themeColor="background1" w:themeShade="BF"/>
                <w:sz w:val="20"/>
                <w:szCs w:val="20"/>
              </w:rPr>
            </w:pPr>
            <w:r w:rsidRPr="00CE7164">
              <w:rPr>
                <w:color w:val="BFBFBF" w:themeColor="background1" w:themeShade="BF"/>
                <w:sz w:val="20"/>
                <w:szCs w:val="20"/>
              </w:rPr>
              <w:t>FUELIP</w:t>
            </w:r>
          </w:p>
        </w:tc>
        <w:tc>
          <w:tcPr>
            <w:tcW w:w="4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C91325" w14:textId="77777777" w:rsidR="00464C36" w:rsidRPr="00CE7164" w:rsidRDefault="00464C36" w:rsidP="00CE7164">
            <w:pPr>
              <w:contextualSpacing w:val="0"/>
              <w:jc w:val="center"/>
              <w:rPr>
                <w:color w:val="BFBFBF" w:themeColor="background1" w:themeShade="BF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464C36" w14:paraId="46AAF54D" w14:textId="77777777" w:rsidTr="00C5772C"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A25833" w14:textId="77777777" w:rsidR="00464C36" w:rsidRPr="00CE7164" w:rsidRDefault="00A46E77" w:rsidP="00CE7164">
            <w:pPr>
              <w:spacing w:line="288" w:lineRule="auto"/>
              <w:contextualSpacing w:val="0"/>
              <w:jc w:val="center"/>
              <w:rPr>
                <w:color w:val="BFBFBF" w:themeColor="background1" w:themeShade="BF"/>
                <w:sz w:val="20"/>
                <w:szCs w:val="20"/>
              </w:rPr>
            </w:pPr>
            <w:r w:rsidRPr="00CE7164">
              <w:rPr>
                <w:color w:val="BFBFBF" w:themeColor="background1" w:themeShade="BF"/>
                <w:sz w:val="20"/>
                <w:szCs w:val="20"/>
              </w:rPr>
              <w:t>Fuel SSH credentials (console)</w:t>
            </w:r>
          </w:p>
        </w:tc>
        <w:tc>
          <w:tcPr>
            <w:tcW w:w="2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E7492" w14:textId="074295DC" w:rsidR="00464C36" w:rsidRPr="00CE7164" w:rsidRDefault="00C5772C" w:rsidP="00CE7164">
            <w:pPr>
              <w:spacing w:line="288" w:lineRule="auto"/>
              <w:contextualSpacing w:val="0"/>
              <w:jc w:val="center"/>
              <w:rPr>
                <w:color w:val="BFBFBF" w:themeColor="background1" w:themeShade="BF"/>
                <w:sz w:val="20"/>
                <w:szCs w:val="20"/>
              </w:rPr>
            </w:pPr>
            <w:r w:rsidRPr="00CE7164">
              <w:rPr>
                <w:color w:val="BFBFBF" w:themeColor="background1" w:themeShade="BF"/>
                <w:sz w:val="20"/>
                <w:szCs w:val="20"/>
              </w:rPr>
              <w:t>SSHUSER / &lt;SSHPW</w:t>
            </w:r>
            <w:r w:rsidR="00A46E77" w:rsidRPr="00CE7164">
              <w:rPr>
                <w:color w:val="BFBFBF" w:themeColor="background1" w:themeShade="BF"/>
                <w:sz w:val="20"/>
                <w:szCs w:val="20"/>
              </w:rPr>
              <w:t>&gt;</w:t>
            </w:r>
          </w:p>
        </w:tc>
        <w:tc>
          <w:tcPr>
            <w:tcW w:w="4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6AC8ED" w14:textId="77777777" w:rsidR="00464C36" w:rsidRPr="00CE7164" w:rsidRDefault="00464C36" w:rsidP="00CE7164">
            <w:pPr>
              <w:contextualSpacing w:val="0"/>
              <w:jc w:val="center"/>
              <w:rPr>
                <w:color w:val="BFBFBF" w:themeColor="background1" w:themeShade="BF"/>
                <w:sz w:val="20"/>
                <w:szCs w:val="20"/>
              </w:rPr>
            </w:pPr>
          </w:p>
        </w:tc>
      </w:tr>
      <w:tr w:rsidR="00464C36" w14:paraId="17DCF3B9" w14:textId="77777777" w:rsidTr="00C5772C"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917692" w14:textId="77777777" w:rsidR="00464C36" w:rsidRPr="00CE7164" w:rsidRDefault="00A46E77" w:rsidP="00CE7164">
            <w:pPr>
              <w:spacing w:line="288" w:lineRule="auto"/>
              <w:contextualSpacing w:val="0"/>
              <w:jc w:val="center"/>
              <w:rPr>
                <w:color w:val="BFBFBF" w:themeColor="background1" w:themeShade="BF"/>
                <w:sz w:val="20"/>
                <w:szCs w:val="20"/>
              </w:rPr>
            </w:pPr>
            <w:proofErr w:type="spellStart"/>
            <w:r w:rsidRPr="00CE7164">
              <w:rPr>
                <w:color w:val="BFBFBF" w:themeColor="background1" w:themeShade="BF"/>
                <w:sz w:val="20"/>
                <w:szCs w:val="20"/>
              </w:rPr>
              <w:t>OpenStack</w:t>
            </w:r>
            <w:proofErr w:type="spellEnd"/>
            <w:r w:rsidRPr="00CE7164">
              <w:rPr>
                <w:color w:val="BFBFBF" w:themeColor="background1" w:themeShade="BF"/>
                <w:sz w:val="20"/>
                <w:szCs w:val="20"/>
              </w:rPr>
              <w:t xml:space="preserve"> nodes SSH credentials (console)</w:t>
            </w:r>
          </w:p>
        </w:tc>
        <w:tc>
          <w:tcPr>
            <w:tcW w:w="2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7E9296" w14:textId="77777777" w:rsidR="00464C36" w:rsidRPr="00CE7164" w:rsidRDefault="00464C36" w:rsidP="00CE7164">
            <w:pPr>
              <w:contextualSpacing w:val="0"/>
              <w:jc w:val="center"/>
              <w:rPr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4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CA4C47" w14:textId="77777777" w:rsidR="00464C36" w:rsidRPr="00CE7164" w:rsidRDefault="00A46E77" w:rsidP="00CE7164">
            <w:pPr>
              <w:spacing w:line="288" w:lineRule="auto"/>
              <w:contextualSpacing w:val="0"/>
              <w:jc w:val="center"/>
              <w:rPr>
                <w:color w:val="BFBFBF" w:themeColor="background1" w:themeShade="BF"/>
                <w:sz w:val="20"/>
                <w:szCs w:val="20"/>
              </w:rPr>
            </w:pPr>
            <w:r w:rsidRPr="00CE7164">
              <w:rPr>
                <w:color w:val="BFBFBF" w:themeColor="background1" w:themeShade="BF"/>
                <w:sz w:val="20"/>
                <w:szCs w:val="20"/>
              </w:rPr>
              <w:t xml:space="preserve">By </w:t>
            </w:r>
            <w:proofErr w:type="gramStart"/>
            <w:r w:rsidRPr="00CE7164">
              <w:rPr>
                <w:color w:val="BFBFBF" w:themeColor="background1" w:themeShade="BF"/>
                <w:sz w:val="20"/>
                <w:szCs w:val="20"/>
              </w:rPr>
              <w:t>default</w:t>
            </w:r>
            <w:proofErr w:type="gramEnd"/>
            <w:r w:rsidRPr="00CE7164">
              <w:rPr>
                <w:color w:val="BFBFBF" w:themeColor="background1" w:themeShade="BF"/>
                <w:sz w:val="20"/>
                <w:szCs w:val="20"/>
              </w:rPr>
              <w:t xml:space="preserve"> password based authentication disabled for </w:t>
            </w:r>
            <w:proofErr w:type="spellStart"/>
            <w:r w:rsidRPr="00CE7164">
              <w:rPr>
                <w:color w:val="BFBFBF" w:themeColor="background1" w:themeShade="BF"/>
                <w:sz w:val="20"/>
                <w:szCs w:val="20"/>
              </w:rPr>
              <w:t>OpenStack</w:t>
            </w:r>
            <w:proofErr w:type="spellEnd"/>
            <w:r w:rsidRPr="00CE7164">
              <w:rPr>
                <w:color w:val="BFBFBF" w:themeColor="background1" w:themeShade="BF"/>
                <w:sz w:val="20"/>
                <w:szCs w:val="20"/>
              </w:rPr>
              <w:t xml:space="preserve"> boxes, </w:t>
            </w:r>
            <w:proofErr w:type="spellStart"/>
            <w:r w:rsidRPr="00CE7164">
              <w:rPr>
                <w:color w:val="BFBFBF" w:themeColor="background1" w:themeShade="BF"/>
                <w:sz w:val="20"/>
                <w:szCs w:val="20"/>
              </w:rPr>
              <w:t>ssh</w:t>
            </w:r>
            <w:proofErr w:type="spellEnd"/>
            <w:r w:rsidRPr="00CE7164">
              <w:rPr>
                <w:color w:val="BFBFBF" w:themeColor="background1" w:themeShade="BF"/>
                <w:sz w:val="20"/>
                <w:szCs w:val="20"/>
              </w:rPr>
              <w:t xml:space="preserve"> to </w:t>
            </w:r>
            <w:proofErr w:type="spellStart"/>
            <w:r w:rsidRPr="00CE7164">
              <w:rPr>
                <w:color w:val="BFBFBF" w:themeColor="background1" w:themeShade="BF"/>
                <w:sz w:val="20"/>
                <w:szCs w:val="20"/>
              </w:rPr>
              <w:t>OpenStack</w:t>
            </w:r>
            <w:proofErr w:type="spellEnd"/>
            <w:r w:rsidRPr="00CE7164">
              <w:rPr>
                <w:color w:val="BFBFBF" w:themeColor="background1" w:themeShade="BF"/>
                <w:sz w:val="20"/>
                <w:szCs w:val="20"/>
              </w:rPr>
              <w:t xml:space="preserve"> nodes possible only from Fuel master nodes which has </w:t>
            </w:r>
            <w:proofErr w:type="spellStart"/>
            <w:r w:rsidRPr="00CE7164">
              <w:rPr>
                <w:color w:val="BFBFBF" w:themeColor="background1" w:themeShade="BF"/>
                <w:sz w:val="20"/>
                <w:szCs w:val="20"/>
              </w:rPr>
              <w:t>ssh</w:t>
            </w:r>
            <w:proofErr w:type="spellEnd"/>
            <w:r w:rsidRPr="00CE7164">
              <w:rPr>
                <w:color w:val="BFBFBF" w:themeColor="background1" w:themeShade="BF"/>
                <w:sz w:val="20"/>
                <w:szCs w:val="20"/>
              </w:rPr>
              <w:t xml:space="preserve"> access key for slave nodes. Passwords can be changed from consoles. More information can be found at Fuel Operations Guide</w:t>
            </w:r>
            <w:hyperlink r:id="rId9">
              <w:r w:rsidRPr="00CE7164">
                <w:rPr>
                  <w:color w:val="BFBFBF" w:themeColor="background1" w:themeShade="BF"/>
                  <w:sz w:val="20"/>
                  <w:szCs w:val="20"/>
                  <w:u w:val="single"/>
                </w:rPr>
                <w:t xml:space="preserve"> here</w:t>
              </w:r>
            </w:hyperlink>
            <w:r w:rsidRPr="00CE7164">
              <w:rPr>
                <w:color w:val="BFBFBF" w:themeColor="background1" w:themeShade="BF"/>
                <w:sz w:val="20"/>
                <w:szCs w:val="20"/>
                <w:u w:val="single"/>
                <w:vertAlign w:val="superscript"/>
              </w:rPr>
              <w:footnoteReference w:id="2"/>
            </w:r>
            <w:r w:rsidRPr="00CE7164">
              <w:rPr>
                <w:color w:val="BFBFBF" w:themeColor="background1" w:themeShade="BF"/>
                <w:sz w:val="20"/>
                <w:szCs w:val="20"/>
              </w:rPr>
              <w:t xml:space="preserve"> .</w:t>
            </w:r>
          </w:p>
        </w:tc>
      </w:tr>
      <w:tr w:rsidR="00464C36" w14:paraId="5D6C5D9B" w14:textId="77777777" w:rsidTr="00C5772C"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DB6952" w14:textId="77777777" w:rsidR="00464C36" w:rsidRPr="00CE7164" w:rsidRDefault="00A46E77" w:rsidP="00CE7164">
            <w:pPr>
              <w:spacing w:line="288" w:lineRule="auto"/>
              <w:contextualSpacing w:val="0"/>
              <w:jc w:val="center"/>
              <w:rPr>
                <w:color w:val="BFBFBF" w:themeColor="background1" w:themeShade="BF"/>
                <w:sz w:val="20"/>
                <w:szCs w:val="20"/>
              </w:rPr>
            </w:pPr>
            <w:proofErr w:type="spellStart"/>
            <w:r w:rsidRPr="00CE7164">
              <w:rPr>
                <w:color w:val="BFBFBF" w:themeColor="background1" w:themeShade="BF"/>
                <w:sz w:val="20"/>
                <w:szCs w:val="20"/>
              </w:rPr>
              <w:t>OpenStack</w:t>
            </w:r>
            <w:proofErr w:type="spellEnd"/>
            <w:r w:rsidRPr="00CE7164">
              <w:rPr>
                <w:color w:val="BFBFBF" w:themeColor="background1" w:themeShade="BF"/>
                <w:sz w:val="20"/>
                <w:szCs w:val="20"/>
              </w:rPr>
              <w:t xml:space="preserve"> Horizon URL</w:t>
            </w:r>
          </w:p>
        </w:tc>
        <w:tc>
          <w:tcPr>
            <w:tcW w:w="2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645AE9" w14:textId="0BD8E166" w:rsidR="00464C36" w:rsidRPr="00CE7164" w:rsidRDefault="00C5772C" w:rsidP="00CE7164">
            <w:pPr>
              <w:spacing w:line="288" w:lineRule="auto"/>
              <w:contextualSpacing w:val="0"/>
              <w:jc w:val="center"/>
              <w:rPr>
                <w:color w:val="BFBFBF" w:themeColor="background1" w:themeShade="BF"/>
                <w:sz w:val="20"/>
                <w:szCs w:val="20"/>
              </w:rPr>
            </w:pPr>
            <w:r w:rsidRPr="00CE7164">
              <w:rPr>
                <w:color w:val="BFBFBF" w:themeColor="background1" w:themeShade="BF"/>
                <w:sz w:val="20"/>
                <w:szCs w:val="20"/>
              </w:rPr>
              <w:t>HORURL</w:t>
            </w:r>
          </w:p>
        </w:tc>
        <w:tc>
          <w:tcPr>
            <w:tcW w:w="4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007A9A" w14:textId="77777777" w:rsidR="00464C36" w:rsidRPr="00CE7164" w:rsidRDefault="008126B4" w:rsidP="00CE7164">
            <w:pPr>
              <w:contextualSpacing w:val="0"/>
              <w:jc w:val="center"/>
              <w:rPr>
                <w:color w:val="BFBFBF" w:themeColor="background1" w:themeShade="BF"/>
                <w:sz w:val="20"/>
                <w:szCs w:val="20"/>
              </w:rPr>
            </w:pPr>
            <w:hyperlink r:id="rId10"/>
          </w:p>
        </w:tc>
      </w:tr>
      <w:tr w:rsidR="00464C36" w14:paraId="52A57A38" w14:textId="77777777" w:rsidTr="00C5772C">
        <w:tc>
          <w:tcPr>
            <w:tcW w:w="24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4FE04C" w14:textId="77777777" w:rsidR="00464C36" w:rsidRPr="00CE7164" w:rsidRDefault="00A46E77" w:rsidP="00CE7164">
            <w:pPr>
              <w:spacing w:line="288" w:lineRule="auto"/>
              <w:contextualSpacing w:val="0"/>
              <w:jc w:val="center"/>
              <w:rPr>
                <w:color w:val="BFBFBF" w:themeColor="background1" w:themeShade="BF"/>
                <w:sz w:val="20"/>
                <w:szCs w:val="20"/>
              </w:rPr>
            </w:pPr>
            <w:proofErr w:type="spellStart"/>
            <w:r w:rsidRPr="00CE7164">
              <w:rPr>
                <w:color w:val="BFBFBF" w:themeColor="background1" w:themeShade="BF"/>
                <w:sz w:val="20"/>
                <w:szCs w:val="20"/>
              </w:rPr>
              <w:t>OpenStack</w:t>
            </w:r>
            <w:proofErr w:type="spellEnd"/>
            <w:r w:rsidRPr="00CE7164">
              <w:rPr>
                <w:color w:val="BFBFBF" w:themeColor="background1" w:themeShade="BF"/>
                <w:sz w:val="20"/>
                <w:szCs w:val="20"/>
              </w:rPr>
              <w:t xml:space="preserve"> credentials</w:t>
            </w:r>
          </w:p>
        </w:tc>
        <w:tc>
          <w:tcPr>
            <w:tcW w:w="2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5C870C" w14:textId="77777777" w:rsidR="00464C36" w:rsidRPr="00CE7164" w:rsidRDefault="00464C36" w:rsidP="00CE7164">
            <w:pPr>
              <w:contextualSpacing w:val="0"/>
              <w:jc w:val="center"/>
              <w:rPr>
                <w:color w:val="BFBFBF" w:themeColor="background1" w:themeShade="BF"/>
                <w:sz w:val="20"/>
                <w:szCs w:val="20"/>
              </w:rPr>
            </w:pPr>
          </w:p>
          <w:p w14:paraId="48B59D1E" w14:textId="77777777" w:rsidR="00464C36" w:rsidRPr="00CE7164" w:rsidRDefault="00A46E77" w:rsidP="00CE7164">
            <w:pPr>
              <w:spacing w:line="288" w:lineRule="auto"/>
              <w:contextualSpacing w:val="0"/>
              <w:jc w:val="center"/>
              <w:rPr>
                <w:color w:val="BFBFBF" w:themeColor="background1" w:themeShade="BF"/>
                <w:sz w:val="20"/>
                <w:szCs w:val="20"/>
              </w:rPr>
            </w:pPr>
            <w:r w:rsidRPr="00CE7164">
              <w:rPr>
                <w:color w:val="BFBFBF" w:themeColor="background1" w:themeShade="BF"/>
                <w:sz w:val="20"/>
                <w:szCs w:val="20"/>
              </w:rPr>
              <w:t>admin / &lt;admin&gt;</w:t>
            </w:r>
          </w:p>
        </w:tc>
        <w:tc>
          <w:tcPr>
            <w:tcW w:w="4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5965DB" w14:textId="77777777" w:rsidR="00464C36" w:rsidRPr="00CE7164" w:rsidRDefault="00464C36" w:rsidP="00CE7164">
            <w:pPr>
              <w:contextualSpacing w:val="0"/>
              <w:jc w:val="center"/>
              <w:rPr>
                <w:color w:val="BFBFBF" w:themeColor="background1" w:themeShade="BF"/>
                <w:sz w:val="20"/>
                <w:szCs w:val="20"/>
              </w:rPr>
            </w:pPr>
          </w:p>
        </w:tc>
      </w:tr>
    </w:tbl>
    <w:p w14:paraId="727FEA04" w14:textId="77777777" w:rsidR="00C70FE7" w:rsidRDefault="00C70FE7" w:rsidP="00CE7164">
      <w:pPr>
        <w:pStyle w:val="Heading1"/>
        <w:jc w:val="center"/>
      </w:pPr>
      <w:bookmarkStart w:id="1" w:name="h.35nkun2" w:colFirst="0" w:colLast="0"/>
      <w:bookmarkEnd w:id="1"/>
    </w:p>
    <w:p w14:paraId="30AB7EDE" w14:textId="3D0E9839" w:rsidR="00464C36" w:rsidRDefault="00464C36" w:rsidP="00CE7164">
      <w:pPr>
        <w:jc w:val="center"/>
      </w:pPr>
    </w:p>
    <w:sectPr w:rsidR="00464C36" w:rsidSect="00E03F49">
      <w:headerReference w:type="default" r:id="rId11"/>
      <w:footerReference w:type="default" r:id="rId12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453D6D" w14:textId="77777777" w:rsidR="008126B4" w:rsidRDefault="008126B4">
      <w:pPr>
        <w:spacing w:line="240" w:lineRule="auto"/>
      </w:pPr>
      <w:r>
        <w:separator/>
      </w:r>
    </w:p>
  </w:endnote>
  <w:endnote w:type="continuationSeparator" w:id="0">
    <w:p w14:paraId="606FEBCD" w14:textId="77777777" w:rsidR="008126B4" w:rsidRDefault="008126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T Sans">
    <w:panose1 w:val="020B0503020203020204"/>
    <w:charset w:val="CC"/>
    <w:family w:val="auto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31FA5" w14:textId="77777777" w:rsidR="00464C36" w:rsidRDefault="00464C36"/>
  <w:p w14:paraId="45A1E9E3" w14:textId="77777777" w:rsidR="00464C36" w:rsidRDefault="00464C36"/>
  <w:tbl>
    <w:tblPr>
      <w:tblStyle w:val="ae"/>
      <w:tblW w:w="9352" w:type="dxa"/>
      <w:tblInd w:w="-100" w:type="dxa"/>
      <w:tblLayout w:type="fixed"/>
      <w:tblLook w:val="0600" w:firstRow="0" w:lastRow="0" w:firstColumn="0" w:lastColumn="0" w:noHBand="1" w:noVBand="1"/>
    </w:tblPr>
    <w:tblGrid>
      <w:gridCol w:w="5760"/>
      <w:gridCol w:w="3592"/>
    </w:tblGrid>
    <w:tr w:rsidR="00464C36" w14:paraId="51FE9136" w14:textId="77777777" w:rsidTr="00464C36">
      <w:tc>
        <w:tcPr>
          <w:tcW w:w="576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6F968759" w14:textId="77777777" w:rsidR="00464C36" w:rsidRDefault="00A46E77">
          <w:pPr>
            <w:spacing w:after="720" w:line="240" w:lineRule="auto"/>
            <w:contextualSpacing w:val="0"/>
          </w:pPr>
          <w:r>
            <w:rPr>
              <w:color w:val="B7B7B7"/>
              <w:sz w:val="16"/>
              <w:szCs w:val="16"/>
            </w:rPr>
            <w:t>© 2005–2016 All Rights Reserved</w:t>
          </w:r>
        </w:p>
      </w:tc>
      <w:tc>
        <w:tcPr>
          <w:tcW w:w="3592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7CD35205" w14:textId="77777777" w:rsidR="00464C36" w:rsidRDefault="00A46E77">
          <w:pPr>
            <w:spacing w:after="720" w:line="240" w:lineRule="auto"/>
            <w:contextualSpacing w:val="0"/>
            <w:jc w:val="right"/>
          </w:pPr>
          <w:r>
            <w:rPr>
              <w:color w:val="B7B7B7"/>
              <w:sz w:val="16"/>
              <w:szCs w:val="16"/>
            </w:rPr>
            <w:t>www.mirantis.com</w:t>
          </w:r>
        </w:p>
      </w:tc>
    </w:tr>
  </w:tbl>
  <w:p w14:paraId="2E15A726" w14:textId="77777777" w:rsidR="00464C36" w:rsidRDefault="00A46E77">
    <w:pPr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CE716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353EC" w14:textId="77777777" w:rsidR="008126B4" w:rsidRDefault="008126B4">
      <w:pPr>
        <w:spacing w:line="240" w:lineRule="auto"/>
      </w:pPr>
      <w:r>
        <w:separator/>
      </w:r>
    </w:p>
  </w:footnote>
  <w:footnote w:type="continuationSeparator" w:id="0">
    <w:p w14:paraId="32B91D14" w14:textId="77777777" w:rsidR="008126B4" w:rsidRDefault="008126B4">
      <w:pPr>
        <w:spacing w:line="240" w:lineRule="auto"/>
      </w:pPr>
      <w:r>
        <w:continuationSeparator/>
      </w:r>
    </w:p>
  </w:footnote>
  <w:footnote w:id="1">
    <w:p w14:paraId="1E99E478" w14:textId="77777777" w:rsidR="00464C36" w:rsidRDefault="00A46E77">
      <w:pPr>
        <w:spacing w:line="240" w:lineRule="auto"/>
      </w:pPr>
      <w:r>
        <w:rPr>
          <w:vertAlign w:val="superscript"/>
        </w:rPr>
        <w:footnoteRef/>
      </w:r>
      <w:r>
        <w:rPr>
          <w:color w:val="4A86E8"/>
          <w:sz w:val="20"/>
          <w:szCs w:val="20"/>
        </w:rPr>
        <w:t xml:space="preserve"> </w:t>
      </w:r>
      <w:hyperlink r:id="rId1" w:anchor="change-fuel-passwd-ug">
        <w:r>
          <w:rPr>
            <w:color w:val="1155CC"/>
            <w:sz w:val="20"/>
            <w:szCs w:val="20"/>
            <w:u w:val="single"/>
          </w:rPr>
          <w:t>https://docs.mirantis.com/openstack/fuel/fuel-8.0/user-guide.html#change-fuel-passwd-ug</w:t>
        </w:r>
      </w:hyperlink>
    </w:p>
  </w:footnote>
  <w:footnote w:id="2">
    <w:p w14:paraId="10DEA3BE" w14:textId="77777777" w:rsidR="00464C36" w:rsidRDefault="00A46E77">
      <w:pPr>
        <w:spacing w:line="240" w:lineRule="auto"/>
      </w:pPr>
      <w:r>
        <w:rPr>
          <w:vertAlign w:val="superscript"/>
        </w:rPr>
        <w:footnoteRef/>
      </w:r>
      <w:r>
        <w:rPr>
          <w:color w:val="4A86E8"/>
        </w:rPr>
        <w:t xml:space="preserve"> </w:t>
      </w:r>
      <w:hyperlink r:id="rId2">
        <w:r>
          <w:rPr>
            <w:color w:val="1155CC"/>
            <w:sz w:val="20"/>
            <w:szCs w:val="20"/>
            <w:u w:val="single"/>
          </w:rPr>
          <w:t>https://docs.mirantis.com/openstack/fuel/fuel-8.0/pdf/Mirantis-OpenStack-8.0-OperationsGuide.pdf</w:t>
        </w:r>
      </w:hyperlink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9998A" w14:textId="77777777" w:rsidR="00464C36" w:rsidRDefault="00A46E77">
    <w:pPr>
      <w:spacing w:before="720"/>
      <w:ind w:left="-178"/>
    </w:pPr>
    <w:r>
      <w:rPr>
        <w:noProof/>
      </w:rPr>
      <w:drawing>
        <wp:inline distT="19050" distB="19050" distL="19050" distR="19050" wp14:anchorId="35681368" wp14:editId="74BD5605">
          <wp:extent cx="6249971" cy="904973"/>
          <wp:effectExtent l="0" t="0" r="0" b="0"/>
          <wp:docPr id="15" name="image2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49971" cy="9049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0368"/>
    <w:multiLevelType w:val="multilevel"/>
    <w:tmpl w:val="99EA26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3545EFE"/>
    <w:multiLevelType w:val="multilevel"/>
    <w:tmpl w:val="E83CDA8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21C1262F"/>
    <w:multiLevelType w:val="multilevel"/>
    <w:tmpl w:val="2670DED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26C17880"/>
    <w:multiLevelType w:val="multilevel"/>
    <w:tmpl w:val="116CDE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CD229DE"/>
    <w:multiLevelType w:val="multilevel"/>
    <w:tmpl w:val="B4EE7F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05A0C07"/>
    <w:multiLevelType w:val="multilevel"/>
    <w:tmpl w:val="373C46B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>
    <w:nsid w:val="44083052"/>
    <w:multiLevelType w:val="multilevel"/>
    <w:tmpl w:val="FFE230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5F273E5"/>
    <w:multiLevelType w:val="multilevel"/>
    <w:tmpl w:val="F1DC058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>
    <w:nsid w:val="74DF5B32"/>
    <w:multiLevelType w:val="multilevel"/>
    <w:tmpl w:val="A888F0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6A037E8"/>
    <w:multiLevelType w:val="multilevel"/>
    <w:tmpl w:val="E43A43C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4C36"/>
    <w:rsid w:val="00034959"/>
    <w:rsid w:val="001040B0"/>
    <w:rsid w:val="001B4578"/>
    <w:rsid w:val="00220132"/>
    <w:rsid w:val="002612DA"/>
    <w:rsid w:val="003D4C63"/>
    <w:rsid w:val="00464C36"/>
    <w:rsid w:val="00541374"/>
    <w:rsid w:val="00587D2B"/>
    <w:rsid w:val="005C68F7"/>
    <w:rsid w:val="00671793"/>
    <w:rsid w:val="006F6099"/>
    <w:rsid w:val="00733CAD"/>
    <w:rsid w:val="007B580B"/>
    <w:rsid w:val="007E5B7B"/>
    <w:rsid w:val="008126B4"/>
    <w:rsid w:val="00937107"/>
    <w:rsid w:val="009A098C"/>
    <w:rsid w:val="009F5F46"/>
    <w:rsid w:val="00A46E77"/>
    <w:rsid w:val="00A93ECF"/>
    <w:rsid w:val="00B15E99"/>
    <w:rsid w:val="00B673BF"/>
    <w:rsid w:val="00C01C00"/>
    <w:rsid w:val="00C5772C"/>
    <w:rsid w:val="00C70FE7"/>
    <w:rsid w:val="00CA5F74"/>
    <w:rsid w:val="00CE7164"/>
    <w:rsid w:val="00D52DFF"/>
    <w:rsid w:val="00E03F49"/>
    <w:rsid w:val="00E30991"/>
    <w:rsid w:val="00E339C0"/>
    <w:rsid w:val="00F62A66"/>
    <w:rsid w:val="00FE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68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T Sans" w:eastAsia="PT Sans" w:hAnsi="PT Sans" w:cs="PT Sans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360" w:after="80"/>
      <w:outlineLvl w:val="0"/>
    </w:pPr>
    <w:rPr>
      <w:color w:val="A62614"/>
      <w:sz w:val="40"/>
      <w:szCs w:val="40"/>
    </w:rPr>
  </w:style>
  <w:style w:type="paragraph" w:styleId="Heading2">
    <w:name w:val="heading 2"/>
    <w:basedOn w:val="Normal"/>
    <w:next w:val="Normal"/>
    <w:pPr>
      <w:spacing w:before="200" w:after="80"/>
      <w:outlineLvl w:val="1"/>
    </w:pPr>
    <w:rPr>
      <w:color w:val="666666"/>
      <w:sz w:val="28"/>
      <w:szCs w:val="28"/>
    </w:rPr>
  </w:style>
  <w:style w:type="paragraph" w:styleId="Heading3">
    <w:name w:val="heading 3"/>
    <w:basedOn w:val="Normal"/>
    <w:next w:val="Normal"/>
    <w:pPr>
      <w:spacing w:before="20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before="360" w:after="80"/>
    </w:pPr>
    <w:rPr>
      <w:color w:val="666666"/>
      <w:sz w:val="36"/>
      <w:szCs w:val="3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e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Emphasis">
    <w:name w:val="Emphasis"/>
    <w:basedOn w:val="DefaultParagraphFont"/>
    <w:uiPriority w:val="20"/>
    <w:qFormat/>
    <w:rsid w:val="00D52DF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03F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49"/>
  </w:style>
  <w:style w:type="paragraph" w:styleId="Footer">
    <w:name w:val="footer"/>
    <w:basedOn w:val="Normal"/>
    <w:link w:val="FooterChar"/>
    <w:uiPriority w:val="99"/>
    <w:unhideWhenUsed/>
    <w:rsid w:val="00E03F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0.10.14.14:8000" TargetMode="External"/><Relationship Id="rId8" Type="http://schemas.openxmlformats.org/officeDocument/2006/relationships/hyperlink" Target="https://docs.mirantis.com/openstack/fuel/fuel-7.0/user-guide.html" TargetMode="External"/><Relationship Id="rId9" Type="http://schemas.openxmlformats.org/officeDocument/2006/relationships/hyperlink" Target="https://docs.mirantis.com/openstack/fuel/fuel-8.0/pdf/Mirantis-OpenStack-8.0-OperationsGuide.pdf" TargetMode="External"/><Relationship Id="rId10" Type="http://schemas.openxmlformats.org/officeDocument/2006/relationships/hyperlink" Target="http://5.5.5.5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mirantis.com/openstack/fuel/fuel-8.0/user-guide.html" TargetMode="External"/><Relationship Id="rId2" Type="http://schemas.openxmlformats.org/officeDocument/2006/relationships/hyperlink" Target="https://docs.mirantis.com/openstack/fuel/fuel-8.0/pdf/Mirantis-OpenStack-8.0-OperationsGuide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810</Characters>
  <Application>Microsoft Macintosh Word</Application>
  <DocSecurity>0</DocSecurity>
  <Lines>6</Lines>
  <Paragraphs>1</Paragraphs>
  <ScaleCrop>false</ScaleCrop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2016-07-08T23:14:00Z</dcterms:created>
  <dcterms:modified xsi:type="dcterms:W3CDTF">2016-07-08T23:27:00Z</dcterms:modified>
</cp:coreProperties>
</file>