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4E9355" w14:textId="77777777" w:rsidR="00464C36" w:rsidRDefault="00A46E77">
      <w:pPr>
        <w:pStyle w:val="Heading1"/>
      </w:pPr>
      <w:bookmarkStart w:id="0" w:name="h.35nkun2" w:colFirst="0" w:colLast="0"/>
      <w:bookmarkEnd w:id="0"/>
      <w:r>
        <w:t>Fuel Master Node Installation</w:t>
      </w:r>
    </w:p>
    <w:p w14:paraId="2E76E751" w14:textId="77777777" w:rsidR="00464C36" w:rsidRDefault="00A46E77">
      <w:pPr>
        <w:spacing w:before="480" w:after="120" w:line="414" w:lineRule="auto"/>
        <w:ind w:left="-20"/>
      </w:pPr>
      <w:r>
        <w:rPr>
          <w:color w:val="999999"/>
        </w:rPr>
        <w:t xml:space="preserve">Step by step manual for installation of Fuel master node available on the </w:t>
      </w:r>
      <w:proofErr w:type="spellStart"/>
      <w:r>
        <w:rPr>
          <w:color w:val="999999"/>
        </w:rPr>
        <w:t>Mirantis</w:t>
      </w:r>
      <w:proofErr w:type="spellEnd"/>
      <w:r>
        <w:rPr>
          <w:color w:val="999999"/>
        </w:rPr>
        <w:t xml:space="preserve"> website </w:t>
      </w:r>
      <w:hyperlink r:id="rId7" w:anchor="install-install-fuel-master-node">
        <w:r>
          <w:rPr>
            <w:color w:val="1155CC"/>
            <w:u w:val="single"/>
          </w:rPr>
          <w:t>here</w:t>
        </w:r>
      </w:hyperlink>
      <w:r>
        <w:rPr>
          <w:color w:val="1155CC"/>
          <w:u w:val="single"/>
          <w:vertAlign w:val="superscript"/>
        </w:rPr>
        <w:footnoteReference w:id="1"/>
      </w:r>
      <w:r>
        <w:rPr>
          <w:color w:val="999999"/>
        </w:rPr>
        <w:t xml:space="preserve"> .</w:t>
      </w:r>
    </w:p>
    <w:p w14:paraId="2294D430" w14:textId="77777777" w:rsidR="00464C36" w:rsidRDefault="00A46E77">
      <w:r>
        <w:rPr>
          <w:color w:val="999999"/>
        </w:rPr>
        <w:t>Following settings were used during installation of Fuel node:</w:t>
      </w:r>
      <w:bookmarkStart w:id="1" w:name="_GoBack"/>
      <w:bookmarkEnd w:id="1"/>
    </w:p>
    <w:p w14:paraId="429CED09" w14:textId="77777777" w:rsidR="00464C36" w:rsidRDefault="00464C36"/>
    <w:tbl>
      <w:tblPr>
        <w:tblStyle w:val="a7"/>
        <w:tblW w:w="8925" w:type="dxa"/>
        <w:jc w:val="center"/>
        <w:tblLayout w:type="fixed"/>
        <w:tblLook w:val="0600" w:firstRow="0" w:lastRow="0" w:firstColumn="0" w:lastColumn="0" w:noHBand="1" w:noVBand="1"/>
      </w:tblPr>
      <w:tblGrid>
        <w:gridCol w:w="3585"/>
        <w:gridCol w:w="5340"/>
      </w:tblGrid>
      <w:tr w:rsidR="00464C36" w14:paraId="5F77D352" w14:textId="77777777" w:rsidTr="00532779">
        <w:trPr>
          <w:jc w:val="center"/>
        </w:trPr>
        <w:tc>
          <w:tcPr>
            <w:tcW w:w="35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E4392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Hostname</w:t>
            </w:r>
          </w:p>
        </w:tc>
        <w:tc>
          <w:tcPr>
            <w:tcW w:w="5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2EE97" w14:textId="77777777" w:rsidR="00464C36" w:rsidRDefault="00A46E77">
            <w:pPr>
              <w:spacing w:line="345" w:lineRule="auto"/>
              <w:contextualSpacing w:val="0"/>
            </w:pPr>
            <w:proofErr w:type="spellStart"/>
            <w:r>
              <w:rPr>
                <w:color w:val="999999"/>
                <w:sz w:val="20"/>
                <w:szCs w:val="20"/>
              </w:rPr>
              <w:t>fuel.domain.tld</w:t>
            </w:r>
            <w:proofErr w:type="spellEnd"/>
          </w:p>
        </w:tc>
      </w:tr>
      <w:tr w:rsidR="00464C36" w14:paraId="156B2F98" w14:textId="77777777" w:rsidTr="00532779">
        <w:trPr>
          <w:jc w:val="center"/>
        </w:trPr>
        <w:tc>
          <w:tcPr>
            <w:tcW w:w="35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2E109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Enabled Interface</w:t>
            </w:r>
          </w:p>
        </w:tc>
        <w:tc>
          <w:tcPr>
            <w:tcW w:w="5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FCD7F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eth0</w:t>
            </w:r>
          </w:p>
        </w:tc>
      </w:tr>
      <w:tr w:rsidR="00464C36" w14:paraId="5ECDED14" w14:textId="77777777" w:rsidTr="00532779">
        <w:trPr>
          <w:jc w:val="center"/>
        </w:trPr>
        <w:tc>
          <w:tcPr>
            <w:tcW w:w="35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DA55F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Interface for PXE</w:t>
            </w:r>
          </w:p>
        </w:tc>
        <w:tc>
          <w:tcPr>
            <w:tcW w:w="5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E0E78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eth0</w:t>
            </w:r>
          </w:p>
        </w:tc>
      </w:tr>
      <w:tr w:rsidR="00464C36" w14:paraId="192D713B" w14:textId="77777777" w:rsidTr="00532779">
        <w:trPr>
          <w:jc w:val="center"/>
        </w:trPr>
        <w:tc>
          <w:tcPr>
            <w:tcW w:w="35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D1027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IP address</w:t>
            </w:r>
          </w:p>
        </w:tc>
        <w:tc>
          <w:tcPr>
            <w:tcW w:w="5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173A0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10.200.160.30</w:t>
            </w:r>
          </w:p>
        </w:tc>
      </w:tr>
      <w:tr w:rsidR="00464C36" w14:paraId="15ACB97D" w14:textId="77777777" w:rsidTr="00532779">
        <w:trPr>
          <w:jc w:val="center"/>
        </w:trPr>
        <w:tc>
          <w:tcPr>
            <w:tcW w:w="35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DAF6F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Management Interface</w:t>
            </w:r>
          </w:p>
        </w:tc>
        <w:tc>
          <w:tcPr>
            <w:tcW w:w="5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02EB5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eth0</w:t>
            </w:r>
          </w:p>
        </w:tc>
      </w:tr>
      <w:tr w:rsidR="00464C36" w14:paraId="395CC456" w14:textId="77777777" w:rsidTr="00532779">
        <w:trPr>
          <w:jc w:val="center"/>
        </w:trPr>
        <w:tc>
          <w:tcPr>
            <w:tcW w:w="35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49AD2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Gateway</w:t>
            </w:r>
          </w:p>
        </w:tc>
        <w:tc>
          <w:tcPr>
            <w:tcW w:w="5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43CC9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10.200.160.1</w:t>
            </w:r>
          </w:p>
        </w:tc>
      </w:tr>
      <w:tr w:rsidR="00464C36" w14:paraId="6906C27A" w14:textId="77777777" w:rsidTr="00532779">
        <w:trPr>
          <w:jc w:val="center"/>
        </w:trPr>
        <w:tc>
          <w:tcPr>
            <w:tcW w:w="35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4DE80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Network mask</w:t>
            </w:r>
          </w:p>
        </w:tc>
        <w:tc>
          <w:tcPr>
            <w:tcW w:w="5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8A461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255.255.255.0</w:t>
            </w:r>
          </w:p>
        </w:tc>
      </w:tr>
      <w:tr w:rsidR="00464C36" w14:paraId="5E8FC0A6" w14:textId="77777777" w:rsidTr="00532779">
        <w:trPr>
          <w:jc w:val="center"/>
        </w:trPr>
        <w:tc>
          <w:tcPr>
            <w:tcW w:w="35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FA6B9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DHCP Pool range</w:t>
            </w:r>
          </w:p>
        </w:tc>
        <w:tc>
          <w:tcPr>
            <w:tcW w:w="5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F055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10.200.160.31 - 10.200.160.254</w:t>
            </w:r>
          </w:p>
        </w:tc>
      </w:tr>
      <w:tr w:rsidR="00464C36" w14:paraId="60BE7CC5" w14:textId="77777777" w:rsidTr="00532779">
        <w:trPr>
          <w:jc w:val="center"/>
        </w:trPr>
        <w:tc>
          <w:tcPr>
            <w:tcW w:w="35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E7CFE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Domain</w:t>
            </w:r>
          </w:p>
        </w:tc>
        <w:tc>
          <w:tcPr>
            <w:tcW w:w="5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DEA33" w14:textId="77777777" w:rsidR="00464C36" w:rsidRDefault="00A46E77">
            <w:pPr>
              <w:spacing w:line="345" w:lineRule="auto"/>
              <w:contextualSpacing w:val="0"/>
            </w:pPr>
            <w:proofErr w:type="spellStart"/>
            <w:r>
              <w:rPr>
                <w:color w:val="999999"/>
                <w:sz w:val="20"/>
                <w:szCs w:val="20"/>
              </w:rPr>
              <w:t>domain.tld</w:t>
            </w:r>
            <w:proofErr w:type="spellEnd"/>
          </w:p>
        </w:tc>
      </w:tr>
      <w:tr w:rsidR="00464C36" w14:paraId="255A23B5" w14:textId="77777777" w:rsidTr="00532779">
        <w:trPr>
          <w:jc w:val="center"/>
        </w:trPr>
        <w:tc>
          <w:tcPr>
            <w:tcW w:w="35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56E08" w14:textId="77777777" w:rsidR="00464C36" w:rsidRDefault="00A46E77">
            <w:pPr>
              <w:spacing w:line="345" w:lineRule="auto"/>
              <w:contextualSpacing w:val="0"/>
            </w:pPr>
            <w:r>
              <w:rPr>
                <w:color w:val="999999"/>
                <w:sz w:val="20"/>
                <w:szCs w:val="20"/>
              </w:rPr>
              <w:t>Search domain</w:t>
            </w:r>
          </w:p>
        </w:tc>
        <w:tc>
          <w:tcPr>
            <w:tcW w:w="5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AE1ED" w14:textId="77777777" w:rsidR="00464C36" w:rsidRDefault="00A46E77">
            <w:pPr>
              <w:spacing w:line="345" w:lineRule="auto"/>
              <w:contextualSpacing w:val="0"/>
            </w:pPr>
            <w:proofErr w:type="spellStart"/>
            <w:r>
              <w:rPr>
                <w:color w:val="999999"/>
                <w:sz w:val="20"/>
                <w:szCs w:val="20"/>
              </w:rPr>
              <w:t>domain.tld</w:t>
            </w:r>
            <w:proofErr w:type="spellEnd"/>
          </w:p>
        </w:tc>
      </w:tr>
    </w:tbl>
    <w:p w14:paraId="6108E02C" w14:textId="77777777" w:rsidR="00544DEE" w:rsidRDefault="00544DEE">
      <w:pPr>
        <w:pStyle w:val="Heading2"/>
      </w:pPr>
      <w:bookmarkStart w:id="2" w:name="h.1ksv4uv" w:colFirst="0" w:colLast="0"/>
      <w:bookmarkEnd w:id="2"/>
    </w:p>
    <w:sectPr w:rsidR="00544DEE" w:rsidSect="00E03F49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2B54E" w14:textId="77777777" w:rsidR="007D5A23" w:rsidRDefault="007D5A23">
      <w:pPr>
        <w:spacing w:line="240" w:lineRule="auto"/>
      </w:pPr>
      <w:r>
        <w:separator/>
      </w:r>
    </w:p>
  </w:endnote>
  <w:endnote w:type="continuationSeparator" w:id="0">
    <w:p w14:paraId="39DE463A" w14:textId="77777777" w:rsidR="007D5A23" w:rsidRDefault="007D5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1FA5" w14:textId="77777777" w:rsidR="00464C36" w:rsidRDefault="00464C36"/>
  <w:p w14:paraId="45A1E9E3" w14:textId="77777777" w:rsidR="00464C36" w:rsidRDefault="00464C36"/>
  <w:tbl>
    <w:tblPr>
      <w:tblStyle w:val="ae"/>
      <w:tblW w:w="9352" w:type="dxa"/>
      <w:tblInd w:w="-100" w:type="dxa"/>
      <w:tblLayout w:type="fixed"/>
      <w:tblLook w:val="0600" w:firstRow="0" w:lastRow="0" w:firstColumn="0" w:lastColumn="0" w:noHBand="1" w:noVBand="1"/>
    </w:tblPr>
    <w:tblGrid>
      <w:gridCol w:w="5760"/>
      <w:gridCol w:w="3592"/>
    </w:tblGrid>
    <w:tr w:rsidR="00464C36" w14:paraId="51FE9136" w14:textId="77777777" w:rsidTr="00464C36">
      <w:tc>
        <w:tcPr>
          <w:tcW w:w="576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F968759" w14:textId="77777777" w:rsidR="00464C36" w:rsidRDefault="00A46E77">
          <w:pPr>
            <w:spacing w:after="720" w:line="240" w:lineRule="auto"/>
            <w:contextualSpacing w:val="0"/>
          </w:pPr>
          <w:r>
            <w:rPr>
              <w:color w:val="B7B7B7"/>
              <w:sz w:val="16"/>
              <w:szCs w:val="16"/>
            </w:rPr>
            <w:t>© 2005–2016 All Rights Reserved</w:t>
          </w:r>
        </w:p>
      </w:tc>
      <w:tc>
        <w:tcPr>
          <w:tcW w:w="3592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CD35205" w14:textId="77777777" w:rsidR="00464C36" w:rsidRDefault="00A46E77">
          <w:pPr>
            <w:spacing w:after="720" w:line="240" w:lineRule="auto"/>
            <w:contextualSpacing w:val="0"/>
            <w:jc w:val="right"/>
          </w:pPr>
          <w:r>
            <w:rPr>
              <w:color w:val="B7B7B7"/>
              <w:sz w:val="16"/>
              <w:szCs w:val="16"/>
            </w:rPr>
            <w:t>www.mirantis.com</w:t>
          </w:r>
        </w:p>
      </w:tc>
    </w:tr>
  </w:tbl>
  <w:p w14:paraId="2E15A726" w14:textId="77777777" w:rsidR="00464C36" w:rsidRDefault="00A46E77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53277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644D3" w14:textId="77777777" w:rsidR="007D5A23" w:rsidRDefault="007D5A23">
      <w:pPr>
        <w:spacing w:line="240" w:lineRule="auto"/>
      </w:pPr>
      <w:r>
        <w:separator/>
      </w:r>
    </w:p>
  </w:footnote>
  <w:footnote w:type="continuationSeparator" w:id="0">
    <w:p w14:paraId="37DABDFD" w14:textId="77777777" w:rsidR="007D5A23" w:rsidRDefault="007D5A23">
      <w:pPr>
        <w:spacing w:line="240" w:lineRule="auto"/>
      </w:pPr>
      <w:r>
        <w:continuationSeparator/>
      </w:r>
    </w:p>
  </w:footnote>
  <w:footnote w:id="1">
    <w:p w14:paraId="483C62D3" w14:textId="77777777" w:rsidR="00464C36" w:rsidRDefault="00A46E77">
      <w:pPr>
        <w:spacing w:line="240" w:lineRule="auto"/>
      </w:pPr>
      <w:r>
        <w:rPr>
          <w:vertAlign w:val="superscript"/>
        </w:rPr>
        <w:footnoteRef/>
      </w:r>
      <w:r>
        <w:rPr>
          <w:color w:val="4A86E8"/>
          <w:sz w:val="20"/>
          <w:szCs w:val="20"/>
        </w:rPr>
        <w:t xml:space="preserve"> </w:t>
      </w:r>
      <w:hyperlink r:id="rId1" w:anchor="install-install-fuel-master-node">
        <w:r>
          <w:rPr>
            <w:color w:val="1155CC"/>
            <w:sz w:val="20"/>
            <w:szCs w:val="20"/>
            <w:u w:val="single"/>
          </w:rPr>
          <w:t>https://docs.mirantis.com/openstack/fuel/fuel-8.0/fuel-install-guide.html#install-install-fuel-master-node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998A" w14:textId="77777777" w:rsidR="00464C36" w:rsidRDefault="00A46E77">
    <w:pPr>
      <w:spacing w:before="720"/>
      <w:ind w:left="-178"/>
    </w:pPr>
    <w:r>
      <w:rPr>
        <w:noProof/>
      </w:rPr>
      <w:drawing>
        <wp:inline distT="19050" distB="19050" distL="19050" distR="19050" wp14:anchorId="35681368" wp14:editId="74BD5605">
          <wp:extent cx="6249971" cy="904973"/>
          <wp:effectExtent l="0" t="0" r="0" b="0"/>
          <wp:docPr id="3" name="image2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9971" cy="9049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368"/>
    <w:multiLevelType w:val="multilevel"/>
    <w:tmpl w:val="99EA2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545EFE"/>
    <w:multiLevelType w:val="multilevel"/>
    <w:tmpl w:val="E83CDA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1C1262F"/>
    <w:multiLevelType w:val="multilevel"/>
    <w:tmpl w:val="2670DE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6C17880"/>
    <w:multiLevelType w:val="multilevel"/>
    <w:tmpl w:val="116CD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D229DE"/>
    <w:multiLevelType w:val="multilevel"/>
    <w:tmpl w:val="B4EE7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5A0C07"/>
    <w:multiLevelType w:val="multilevel"/>
    <w:tmpl w:val="373C46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44083052"/>
    <w:multiLevelType w:val="multilevel"/>
    <w:tmpl w:val="FFE23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5F273E5"/>
    <w:multiLevelType w:val="multilevel"/>
    <w:tmpl w:val="F1DC05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74DF5B32"/>
    <w:multiLevelType w:val="multilevel"/>
    <w:tmpl w:val="A888F0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6A037E8"/>
    <w:multiLevelType w:val="multilevel"/>
    <w:tmpl w:val="E43A43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C36"/>
    <w:rsid w:val="00034959"/>
    <w:rsid w:val="001040B0"/>
    <w:rsid w:val="001B4578"/>
    <w:rsid w:val="00220132"/>
    <w:rsid w:val="002612DA"/>
    <w:rsid w:val="003D4C63"/>
    <w:rsid w:val="00464C36"/>
    <w:rsid w:val="00532779"/>
    <w:rsid w:val="00541374"/>
    <w:rsid w:val="00544DEE"/>
    <w:rsid w:val="00587D2B"/>
    <w:rsid w:val="005C68F7"/>
    <w:rsid w:val="00671793"/>
    <w:rsid w:val="006F6099"/>
    <w:rsid w:val="00733CAD"/>
    <w:rsid w:val="007B580B"/>
    <w:rsid w:val="007D5A23"/>
    <w:rsid w:val="007E5B7B"/>
    <w:rsid w:val="00856374"/>
    <w:rsid w:val="00937107"/>
    <w:rsid w:val="009A098C"/>
    <w:rsid w:val="009F5F46"/>
    <w:rsid w:val="00A46E77"/>
    <w:rsid w:val="00A93ECF"/>
    <w:rsid w:val="00B673BF"/>
    <w:rsid w:val="00C00115"/>
    <w:rsid w:val="00C01C00"/>
    <w:rsid w:val="00CA5F74"/>
    <w:rsid w:val="00D52DFF"/>
    <w:rsid w:val="00E03F49"/>
    <w:rsid w:val="00E30991"/>
    <w:rsid w:val="00E339C0"/>
    <w:rsid w:val="00EF2AA2"/>
    <w:rsid w:val="00F62A66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68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="PT Sans" w:hAnsi="PT Sans" w:cs="PT Sans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60" w:after="80"/>
      <w:outlineLvl w:val="0"/>
    </w:pPr>
    <w:rPr>
      <w:color w:val="A62614"/>
      <w:sz w:val="40"/>
      <w:szCs w:val="40"/>
    </w:rPr>
  </w:style>
  <w:style w:type="paragraph" w:styleId="Heading2">
    <w:name w:val="heading 2"/>
    <w:basedOn w:val="Normal"/>
    <w:next w:val="Normal"/>
    <w:pPr>
      <w:spacing w:before="200" w:after="8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spacing w:before="20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360" w:after="80"/>
    </w:pPr>
    <w:rPr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Emphasis">
    <w:name w:val="Emphasis"/>
    <w:basedOn w:val="DefaultParagraphFont"/>
    <w:uiPriority w:val="20"/>
    <w:qFormat/>
    <w:rsid w:val="00D52DF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49"/>
  </w:style>
  <w:style w:type="paragraph" w:styleId="Footer">
    <w:name w:val="footer"/>
    <w:basedOn w:val="Normal"/>
    <w:link w:val="Foot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mirantis.com/openstack/fuel/fuel-8.0/fuel-install-guide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rantis.com/openstack/fuel/fuel-8.0/fuel-install-guid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Macintosh Word</Application>
  <DocSecurity>0</DocSecurity>
  <Lines>4</Lines>
  <Paragraphs>1</Paragraphs>
  <ScaleCrop>false</ScaleCrop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2016-07-08T23:52:00Z</dcterms:created>
  <dcterms:modified xsi:type="dcterms:W3CDTF">2016-07-09T02:39:00Z</dcterms:modified>
</cp:coreProperties>
</file>