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628"/>
        <w:gridCol w:w="2880"/>
        <w:gridCol w:w="2520"/>
        <w:gridCol w:w="236"/>
      </w:tblGrid>
      <w:tr w:rsidR="00C67D8C" w:rsidRPr="0060738A" w14:paraId="58317C45" w14:textId="77777777" w:rsidTr="00C67D8C">
        <w:trPr>
          <w:gridAfter w:val="1"/>
          <w:wAfter w:w="236" w:type="dxa"/>
        </w:trPr>
        <w:tc>
          <w:tcPr>
            <w:tcW w:w="8028" w:type="dxa"/>
            <w:gridSpan w:val="3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0876FF6C" w14:textId="706EB7C0" w:rsidR="0033352D" w:rsidRPr="0060738A" w:rsidRDefault="0033352D" w:rsidP="00142645">
            <w:pPr>
              <w:spacing w:line="480" w:lineRule="auto"/>
              <w:rPr>
                <w:rFonts w:ascii="Times New Roman" w:hAnsi="Times New Roman" w:cs="Times New Roman"/>
                <w:b/>
              </w:rPr>
            </w:pPr>
            <w:r w:rsidRPr="0060738A">
              <w:rPr>
                <w:rFonts w:ascii="Times New Roman" w:hAnsi="Times New Roman" w:cs="Times New Roman"/>
                <w:b/>
              </w:rPr>
              <w:t>Table S</w:t>
            </w:r>
            <w:r w:rsidR="001C486C">
              <w:rPr>
                <w:rFonts w:ascii="Times New Roman" w:hAnsi="Times New Roman" w:cs="Times New Roman"/>
                <w:b/>
              </w:rPr>
              <w:t>1</w:t>
            </w:r>
            <w:r w:rsidRPr="0060738A">
              <w:rPr>
                <w:rFonts w:ascii="Times New Roman" w:hAnsi="Times New Roman" w:cs="Times New Roman"/>
              </w:rPr>
              <w:t>. Bulk isotope samples in plankton and suspended particles in seawater adjacent to six reefs spanning Kāne‘ohe Bay in August and December 2016.</w:t>
            </w:r>
            <w:r w:rsidR="00142645">
              <w:rPr>
                <w:rFonts w:ascii="Times New Roman" w:hAnsi="Times New Roman" w:cs="Times New Roman"/>
              </w:rPr>
              <w:t xml:space="preserve"> Isotopes values in the pooled plankton sample used in the present study are presented for comparison (collected January 2018).</w:t>
            </w:r>
          </w:p>
        </w:tc>
      </w:tr>
      <w:tr w:rsidR="00C67D8C" w:rsidRPr="0060738A" w14:paraId="6C2791A9" w14:textId="77777777" w:rsidTr="00C67D8C">
        <w:trPr>
          <w:gridAfter w:val="1"/>
          <w:wAfter w:w="236" w:type="dxa"/>
        </w:trPr>
        <w:tc>
          <w:tcPr>
            <w:tcW w:w="26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D793915" w14:textId="77777777" w:rsidR="0060738A" w:rsidRPr="0060738A" w:rsidRDefault="0060738A" w:rsidP="00C67D8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Size fraction (</w:t>
            </w:r>
            <w:proofErr w:type="spellStart"/>
            <w:r w:rsidR="00C67D8C" w:rsidRPr="003B6859">
              <w:rPr>
                <w:rFonts w:ascii="Times New Roman" w:eastAsia="Times New Roman" w:hAnsi="Times New Roman" w:cs="Times New Roman"/>
                <w:color w:val="000000"/>
              </w:rPr>
              <w:t>μm</w:t>
            </w:r>
            <w:proofErr w:type="spellEnd"/>
            <w:r w:rsidR="00C67D8C"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E8FC88D" w14:textId="77777777" w:rsidR="0060738A" w:rsidRPr="0060738A" w:rsidRDefault="00C67D8C" w:rsidP="00C67D8C">
            <w:pPr>
              <w:ind w:right="128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B6859">
              <w:rPr>
                <w:rFonts w:ascii="Times New Roman" w:eastAsia="Times New Roman" w:hAnsi="Times New Roman" w:cs="Times New Roman"/>
                <w:color w:val="000000"/>
              </w:rPr>
              <w:t>δ</w:t>
            </w:r>
            <w:r w:rsidRPr="003B6859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13</w:t>
            </w:r>
            <w:r w:rsidRPr="003B6859">
              <w:rPr>
                <w:rFonts w:ascii="Times New Roman" w:eastAsia="Times New Roman" w:hAnsi="Times New Roman" w:cs="Times New Roman"/>
                <w:color w:val="000000"/>
              </w:rPr>
              <w:t>C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D0D8EAE" w14:textId="77777777" w:rsidR="0060738A" w:rsidRPr="0060738A" w:rsidRDefault="00C67D8C" w:rsidP="00C67D8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B6859">
              <w:rPr>
                <w:rFonts w:ascii="Times New Roman" w:eastAsia="Times New Roman" w:hAnsi="Times New Roman" w:cs="Times New Roman"/>
                <w:color w:val="000000"/>
              </w:rPr>
              <w:t>δ</w:t>
            </w:r>
            <w:r w:rsidRPr="003B6859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N</w:t>
            </w:r>
          </w:p>
        </w:tc>
      </w:tr>
      <w:tr w:rsidR="00C67D8C" w:rsidRPr="0060738A" w14:paraId="6D3AFE27" w14:textId="77777777" w:rsidTr="00C67D8C">
        <w:trPr>
          <w:gridAfter w:val="1"/>
          <w:wAfter w:w="236" w:type="dxa"/>
        </w:trPr>
        <w:tc>
          <w:tcPr>
            <w:tcW w:w="262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50BE22D" w14:textId="77777777" w:rsidR="0060738A" w:rsidRPr="0060738A" w:rsidRDefault="00C67D8C" w:rsidP="00C67D8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</w:t>
            </w:r>
            <w:r w:rsidR="0060738A" w:rsidRPr="0060738A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3F0B3D5" w14:textId="087F7D95" w:rsidR="0060738A" w:rsidRPr="0060738A" w:rsidRDefault="0060738A" w:rsidP="00C67D8C">
            <w:pPr>
              <w:ind w:right="128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0738A">
              <w:rPr>
                <w:rFonts w:ascii="Times New Roman" w:eastAsia="Times New Roman" w:hAnsi="Times New Roman" w:cs="Times New Roman"/>
                <w:color w:val="000000"/>
              </w:rPr>
              <w:t>-21.04</w:t>
            </w:r>
            <w:r w:rsidR="0038194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60738A">
              <w:rPr>
                <w:rFonts w:ascii="Times New Roman" w:eastAsia="Times New Roman" w:hAnsi="Times New Roman" w:cs="Times New Roman"/>
                <w:color w:val="000000"/>
              </w:rPr>
              <w:t>±</w:t>
            </w:r>
            <w:r w:rsidR="0038194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60738A">
              <w:rPr>
                <w:rFonts w:ascii="Times New Roman" w:eastAsia="Times New Roman" w:hAnsi="Times New Roman" w:cs="Times New Roman"/>
                <w:color w:val="000000"/>
              </w:rPr>
              <w:t>0.79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42FEA43" w14:textId="03EA5A26" w:rsidR="0060738A" w:rsidRPr="0060738A" w:rsidRDefault="0060738A" w:rsidP="00C67D8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0738A">
              <w:rPr>
                <w:rFonts w:ascii="Times New Roman" w:eastAsia="Times New Roman" w:hAnsi="Times New Roman" w:cs="Times New Roman"/>
                <w:color w:val="000000"/>
              </w:rPr>
              <w:t>5.33</w:t>
            </w:r>
            <w:r w:rsidR="0038194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60738A">
              <w:rPr>
                <w:rFonts w:ascii="Times New Roman" w:eastAsia="Times New Roman" w:hAnsi="Times New Roman" w:cs="Times New Roman"/>
                <w:color w:val="000000"/>
              </w:rPr>
              <w:t>±</w:t>
            </w:r>
            <w:r w:rsidR="0038194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60738A">
              <w:rPr>
                <w:rFonts w:ascii="Times New Roman" w:eastAsia="Times New Roman" w:hAnsi="Times New Roman" w:cs="Times New Roman"/>
                <w:color w:val="000000"/>
              </w:rPr>
              <w:t>0.14</w:t>
            </w:r>
          </w:p>
        </w:tc>
      </w:tr>
      <w:tr w:rsidR="00C67D8C" w:rsidRPr="0060738A" w14:paraId="6766AC6C" w14:textId="77777777" w:rsidTr="00C67D8C">
        <w:trPr>
          <w:gridAfter w:val="1"/>
          <w:wAfter w:w="236" w:type="dxa"/>
        </w:trPr>
        <w:tc>
          <w:tcPr>
            <w:tcW w:w="26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351B14" w14:textId="77777777" w:rsidR="0060738A" w:rsidRPr="0060738A" w:rsidRDefault="0060738A" w:rsidP="00C67D8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0738A">
              <w:rPr>
                <w:rFonts w:ascii="Times New Roman" w:eastAsia="Times New Roman" w:hAnsi="Times New Roman" w:cs="Times New Roman"/>
                <w:color w:val="000000"/>
              </w:rPr>
              <w:t>10-100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5C79F4" w14:textId="1AA03918" w:rsidR="0060738A" w:rsidRPr="0060738A" w:rsidRDefault="0060738A" w:rsidP="00C67D8C">
            <w:pPr>
              <w:ind w:right="128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0738A">
              <w:rPr>
                <w:rFonts w:ascii="Times New Roman" w:eastAsia="Times New Roman" w:hAnsi="Times New Roman" w:cs="Times New Roman"/>
                <w:color w:val="000000"/>
              </w:rPr>
              <w:t>-18.06</w:t>
            </w:r>
            <w:r w:rsidR="0038194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60738A">
              <w:rPr>
                <w:rFonts w:ascii="Times New Roman" w:eastAsia="Times New Roman" w:hAnsi="Times New Roman" w:cs="Times New Roman"/>
                <w:color w:val="000000"/>
              </w:rPr>
              <w:t>±</w:t>
            </w:r>
            <w:r w:rsidR="0038194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60738A">
              <w:rPr>
                <w:rFonts w:ascii="Times New Roman" w:eastAsia="Times New Roman" w:hAnsi="Times New Roman" w:cs="Times New Roman"/>
                <w:color w:val="000000"/>
              </w:rPr>
              <w:t>0.44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BF3525" w14:textId="22647BB4" w:rsidR="0060738A" w:rsidRPr="0060738A" w:rsidRDefault="0060738A" w:rsidP="00C67D8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0738A">
              <w:rPr>
                <w:rFonts w:ascii="Times New Roman" w:eastAsia="Times New Roman" w:hAnsi="Times New Roman" w:cs="Times New Roman"/>
                <w:color w:val="000000"/>
              </w:rPr>
              <w:t>7.41</w:t>
            </w:r>
            <w:r w:rsidR="0038194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60738A">
              <w:rPr>
                <w:rFonts w:ascii="Times New Roman" w:eastAsia="Times New Roman" w:hAnsi="Times New Roman" w:cs="Times New Roman"/>
                <w:color w:val="000000"/>
              </w:rPr>
              <w:t>±</w:t>
            </w:r>
            <w:r w:rsidR="0038194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60738A">
              <w:rPr>
                <w:rFonts w:ascii="Times New Roman" w:eastAsia="Times New Roman" w:hAnsi="Times New Roman" w:cs="Times New Roman"/>
                <w:color w:val="000000"/>
              </w:rPr>
              <w:t>0.12</w:t>
            </w:r>
          </w:p>
        </w:tc>
      </w:tr>
      <w:tr w:rsidR="00C67D8C" w:rsidRPr="0060738A" w14:paraId="248E03BD" w14:textId="77777777" w:rsidTr="00C67D8C">
        <w:trPr>
          <w:gridAfter w:val="1"/>
          <w:wAfter w:w="236" w:type="dxa"/>
        </w:trPr>
        <w:tc>
          <w:tcPr>
            <w:tcW w:w="26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F19F39" w14:textId="77777777" w:rsidR="0060738A" w:rsidRPr="0060738A" w:rsidRDefault="0060738A" w:rsidP="00C67D8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0738A">
              <w:rPr>
                <w:rFonts w:ascii="Times New Roman" w:eastAsia="Times New Roman" w:hAnsi="Times New Roman" w:cs="Times New Roman"/>
                <w:color w:val="000000"/>
              </w:rPr>
              <w:t>100-243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762E71" w14:textId="63D9908B" w:rsidR="0060738A" w:rsidRPr="0060738A" w:rsidRDefault="0060738A" w:rsidP="00C67D8C">
            <w:pPr>
              <w:ind w:right="128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0738A">
              <w:rPr>
                <w:rFonts w:ascii="Times New Roman" w:eastAsia="Times New Roman" w:hAnsi="Times New Roman" w:cs="Times New Roman"/>
                <w:color w:val="000000"/>
              </w:rPr>
              <w:t>-21.06</w:t>
            </w:r>
            <w:r w:rsidR="0038194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60738A">
              <w:rPr>
                <w:rFonts w:ascii="Times New Roman" w:eastAsia="Times New Roman" w:hAnsi="Times New Roman" w:cs="Times New Roman"/>
                <w:color w:val="000000"/>
              </w:rPr>
              <w:t>±</w:t>
            </w:r>
            <w:r w:rsidR="0038194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60738A">
              <w:rPr>
                <w:rFonts w:ascii="Times New Roman" w:eastAsia="Times New Roman" w:hAnsi="Times New Roman" w:cs="Times New Roman"/>
                <w:color w:val="000000"/>
              </w:rPr>
              <w:t>0.19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E06BA3" w14:textId="140BC3D5" w:rsidR="0060738A" w:rsidRPr="0060738A" w:rsidRDefault="0060738A" w:rsidP="00C67D8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0738A">
              <w:rPr>
                <w:rFonts w:ascii="Times New Roman" w:eastAsia="Times New Roman" w:hAnsi="Times New Roman" w:cs="Times New Roman"/>
                <w:color w:val="000000"/>
              </w:rPr>
              <w:t>6.50</w:t>
            </w:r>
            <w:r w:rsidR="0038194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60738A">
              <w:rPr>
                <w:rFonts w:ascii="Times New Roman" w:eastAsia="Times New Roman" w:hAnsi="Times New Roman" w:cs="Times New Roman"/>
                <w:color w:val="000000"/>
              </w:rPr>
              <w:t>±</w:t>
            </w:r>
            <w:r w:rsidR="0038194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60738A">
              <w:rPr>
                <w:rFonts w:ascii="Times New Roman" w:eastAsia="Times New Roman" w:hAnsi="Times New Roman" w:cs="Times New Roman"/>
                <w:color w:val="000000"/>
              </w:rPr>
              <w:t>0.11</w:t>
            </w:r>
          </w:p>
        </w:tc>
      </w:tr>
      <w:tr w:rsidR="00C67D8C" w:rsidRPr="0060738A" w14:paraId="66B292FF" w14:textId="77777777" w:rsidTr="00C67D8C">
        <w:trPr>
          <w:gridAfter w:val="1"/>
          <w:wAfter w:w="236" w:type="dxa"/>
        </w:trPr>
        <w:tc>
          <w:tcPr>
            <w:tcW w:w="26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3233FC" w14:textId="7E20614E" w:rsidR="0060738A" w:rsidRPr="0060738A" w:rsidRDefault="0060738A" w:rsidP="00C67D8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0738A">
              <w:rPr>
                <w:rFonts w:ascii="Times New Roman" w:eastAsia="Times New Roman" w:hAnsi="Times New Roman" w:cs="Times New Roman"/>
                <w:color w:val="000000"/>
              </w:rPr>
              <w:t>&lt;243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0151F1" w14:textId="4731FD91" w:rsidR="0060738A" w:rsidRPr="0060738A" w:rsidRDefault="0060738A" w:rsidP="00C67D8C">
            <w:pPr>
              <w:ind w:right="128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0738A">
              <w:rPr>
                <w:rFonts w:ascii="Times New Roman" w:eastAsia="Times New Roman" w:hAnsi="Times New Roman" w:cs="Times New Roman"/>
                <w:color w:val="000000"/>
              </w:rPr>
              <w:t>-20.44</w:t>
            </w:r>
            <w:r w:rsidR="0038194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60738A">
              <w:rPr>
                <w:rFonts w:ascii="Times New Roman" w:eastAsia="Times New Roman" w:hAnsi="Times New Roman" w:cs="Times New Roman"/>
                <w:color w:val="000000"/>
              </w:rPr>
              <w:t>±</w:t>
            </w:r>
            <w:r w:rsidR="0038194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60738A">
              <w:rPr>
                <w:rFonts w:ascii="Times New Roman" w:eastAsia="Times New Roman" w:hAnsi="Times New Roman" w:cs="Times New Roman"/>
                <w:color w:val="000000"/>
              </w:rPr>
              <w:t>0.50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B16D15" w14:textId="0EA9681C" w:rsidR="0060738A" w:rsidRPr="0060738A" w:rsidRDefault="0060738A" w:rsidP="00C67D8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0738A">
              <w:rPr>
                <w:rFonts w:ascii="Times New Roman" w:eastAsia="Times New Roman" w:hAnsi="Times New Roman" w:cs="Times New Roman"/>
                <w:color w:val="000000"/>
              </w:rPr>
              <w:t>5.92</w:t>
            </w:r>
            <w:r w:rsidR="0038194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60738A">
              <w:rPr>
                <w:rFonts w:ascii="Times New Roman" w:eastAsia="Times New Roman" w:hAnsi="Times New Roman" w:cs="Times New Roman"/>
                <w:color w:val="000000"/>
              </w:rPr>
              <w:t>±</w:t>
            </w:r>
            <w:r w:rsidR="0038194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60738A">
              <w:rPr>
                <w:rFonts w:ascii="Times New Roman" w:eastAsia="Times New Roman" w:hAnsi="Times New Roman" w:cs="Times New Roman"/>
                <w:color w:val="000000"/>
              </w:rPr>
              <w:t>0.17</w:t>
            </w:r>
          </w:p>
        </w:tc>
      </w:tr>
      <w:tr w:rsidR="00C67D8C" w:rsidRPr="0060738A" w14:paraId="7A9DA6CD" w14:textId="77777777" w:rsidTr="009066F7">
        <w:trPr>
          <w:gridAfter w:val="1"/>
          <w:wAfter w:w="236" w:type="dxa"/>
        </w:trPr>
        <w:tc>
          <w:tcPr>
            <w:tcW w:w="26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BE2EB4" w14:textId="3B41DACF" w:rsidR="0060738A" w:rsidRPr="009066F7" w:rsidRDefault="0060738A" w:rsidP="00C67D8C">
            <w:pPr>
              <w:jc w:val="center"/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  <w:r w:rsidRPr="0060738A">
              <w:rPr>
                <w:rFonts w:ascii="Times New Roman" w:eastAsia="Times New Roman" w:hAnsi="Times New Roman" w:cs="Times New Roman"/>
                <w:color w:val="000000"/>
              </w:rPr>
              <w:t>&gt;243</w:t>
            </w:r>
            <w:r w:rsidR="009066F7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a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12A912" w14:textId="605565DF" w:rsidR="0060738A" w:rsidRPr="0060738A" w:rsidRDefault="0060738A" w:rsidP="00C67D8C">
            <w:pPr>
              <w:ind w:right="128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0738A">
              <w:rPr>
                <w:rFonts w:ascii="Times New Roman" w:eastAsia="Times New Roman" w:hAnsi="Times New Roman" w:cs="Times New Roman"/>
                <w:color w:val="000000"/>
              </w:rPr>
              <w:t>-20.75</w:t>
            </w:r>
            <w:r w:rsidR="0038194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60738A">
              <w:rPr>
                <w:rFonts w:ascii="Times New Roman" w:eastAsia="Times New Roman" w:hAnsi="Times New Roman" w:cs="Times New Roman"/>
                <w:color w:val="000000"/>
              </w:rPr>
              <w:t>±</w:t>
            </w:r>
            <w:r w:rsidR="0038194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60738A">
              <w:rPr>
                <w:rFonts w:ascii="Times New Roman" w:eastAsia="Times New Roman" w:hAnsi="Times New Roman" w:cs="Times New Roman"/>
                <w:color w:val="000000"/>
              </w:rPr>
              <w:t>0.28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ED1725" w14:textId="02C30527" w:rsidR="0060738A" w:rsidRPr="0060738A" w:rsidRDefault="0060738A" w:rsidP="00C67D8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0738A">
              <w:rPr>
                <w:rFonts w:ascii="Times New Roman" w:eastAsia="Times New Roman" w:hAnsi="Times New Roman" w:cs="Times New Roman"/>
                <w:color w:val="000000"/>
              </w:rPr>
              <w:t>6.77</w:t>
            </w:r>
            <w:r w:rsidR="0038194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60738A">
              <w:rPr>
                <w:rFonts w:ascii="Times New Roman" w:eastAsia="Times New Roman" w:hAnsi="Times New Roman" w:cs="Times New Roman"/>
                <w:color w:val="000000"/>
              </w:rPr>
              <w:t>±</w:t>
            </w:r>
            <w:r w:rsidR="0038194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60738A">
              <w:rPr>
                <w:rFonts w:ascii="Times New Roman" w:eastAsia="Times New Roman" w:hAnsi="Times New Roman" w:cs="Times New Roman"/>
                <w:color w:val="000000"/>
              </w:rPr>
              <w:t>0.22</w:t>
            </w:r>
          </w:p>
        </w:tc>
      </w:tr>
      <w:tr w:rsidR="009066F7" w:rsidRPr="009066F7" w14:paraId="17F90C15" w14:textId="77777777" w:rsidTr="009066F7">
        <w:trPr>
          <w:gridAfter w:val="1"/>
          <w:wAfter w:w="236" w:type="dxa"/>
        </w:trPr>
        <w:tc>
          <w:tcPr>
            <w:tcW w:w="26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D98126" w14:textId="77777777" w:rsidR="009066F7" w:rsidRPr="009066F7" w:rsidRDefault="009066F7" w:rsidP="002545DC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3C6832" w14:textId="77777777" w:rsidR="009066F7" w:rsidRPr="009066F7" w:rsidRDefault="009066F7" w:rsidP="00C67D8C">
            <w:pPr>
              <w:ind w:right="128"/>
              <w:jc w:val="center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761464" w14:textId="77777777" w:rsidR="009066F7" w:rsidRPr="009066F7" w:rsidRDefault="009066F7" w:rsidP="00C67D8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</w:tr>
      <w:tr w:rsidR="009066F7" w:rsidRPr="0060738A" w14:paraId="6DFD6340" w14:textId="77777777" w:rsidTr="009066F7">
        <w:trPr>
          <w:gridAfter w:val="1"/>
          <w:wAfter w:w="236" w:type="dxa"/>
        </w:trPr>
        <w:tc>
          <w:tcPr>
            <w:tcW w:w="26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C2F04C2" w14:textId="442C676E" w:rsidR="009066F7" w:rsidRPr="0060738A" w:rsidRDefault="002545DC" w:rsidP="009066F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63-</w:t>
            </w:r>
            <w:bookmarkStart w:id="0" w:name="_GoBack"/>
            <w:bookmarkEnd w:id="0"/>
            <w:r w:rsidR="009066F7">
              <w:rPr>
                <w:rFonts w:ascii="Times New Roman" w:eastAsia="Times New Roman" w:hAnsi="Times New Roman" w:cs="Times New Roman"/>
                <w:color w:val="000000"/>
              </w:rPr>
              <w:t>243</w:t>
            </w:r>
            <w:r w:rsidR="009066F7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b</w:t>
            </w:r>
            <w:r w:rsidR="009066F7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2D6815C" w14:textId="5B166F25" w:rsidR="009066F7" w:rsidRPr="0060738A" w:rsidRDefault="009066F7" w:rsidP="00C67D8C">
            <w:pPr>
              <w:ind w:right="128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-21.8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A2D7C10" w14:textId="06B2D7FB" w:rsidR="009066F7" w:rsidRPr="0060738A" w:rsidRDefault="009066F7" w:rsidP="00C67D8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7.1</w:t>
            </w:r>
          </w:p>
        </w:tc>
      </w:tr>
      <w:tr w:rsidR="00C67D8C" w:rsidRPr="0060738A" w14:paraId="737D77CE" w14:textId="77777777" w:rsidTr="00C67D8C">
        <w:trPr>
          <w:trHeight w:val="791"/>
        </w:trPr>
        <w:tc>
          <w:tcPr>
            <w:tcW w:w="802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D1507CD" w14:textId="7E03412F" w:rsidR="0060738A" w:rsidRPr="009066F7" w:rsidRDefault="0060738A" w:rsidP="0014264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67D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Values are </w:t>
            </w:r>
            <w:proofErr w:type="spellStart"/>
            <w:r w:rsidRPr="00C67D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mean±SE</w:t>
            </w:r>
            <w:proofErr w:type="spellEnd"/>
            <w:r w:rsidRPr="00C67D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</w:t>
            </w:r>
            <w:r w:rsidRPr="00C67D8C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n</w:t>
            </w:r>
            <w:r w:rsidRPr="00C67D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=12)</w:t>
            </w:r>
            <w:r w:rsidR="001426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, except </w:t>
            </w:r>
            <w:r w:rsidR="001426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b</w:t>
            </w:r>
            <w:r w:rsidR="001426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gramStart"/>
            <w:r w:rsidR="001426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=  pooled</w:t>
            </w:r>
            <w:proofErr w:type="gramEnd"/>
            <w:r w:rsidR="001426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plankton sample (</w:t>
            </w:r>
            <w:r w:rsidR="00142645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n=</w:t>
            </w:r>
            <w:r w:rsidR="001426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1, this study).</w:t>
            </w:r>
            <w:r w:rsidR="00C67D8C" w:rsidRPr="00C67D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All samples were filtered from seawater collected at 3 m depth, except </w:t>
            </w:r>
            <w:proofErr w:type="spellStart"/>
            <w:r w:rsidR="009066F7" w:rsidRPr="009066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a</w:t>
            </w:r>
            <w:proofErr w:type="gramStart"/>
            <w:r w:rsidR="009066F7" w:rsidRPr="009066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,b</w:t>
            </w:r>
            <w:proofErr w:type="spellEnd"/>
            <w:proofErr w:type="gramEnd"/>
            <w:r w:rsidR="009066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= </w:t>
            </w:r>
            <w:r w:rsidR="00C67D8C" w:rsidRPr="009066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collected from vertical and horizontal plankton tows</w:t>
            </w:r>
            <w:r w:rsidR="009066F7" w:rsidRPr="009066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(63</w:t>
            </w:r>
            <w:r w:rsidR="009066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9066F7" w:rsidRPr="009066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μm</w:t>
            </w:r>
            <w:proofErr w:type="spellEnd"/>
            <w:r w:rsidR="009066F7" w:rsidRPr="009066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mesh</w:t>
            </w:r>
            <w:r w:rsidR="009066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)</w:t>
            </w:r>
            <w:r w:rsidR="00C67D8C" w:rsidRPr="00C67D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(data from Wall et al., 2020).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7AD90ABA" w14:textId="77777777" w:rsidR="0060738A" w:rsidRPr="0060738A" w:rsidRDefault="0060738A" w:rsidP="0033352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2FF6383C" w14:textId="77777777" w:rsidR="009066F7" w:rsidRDefault="0033352D">
      <w:r>
        <w:br w:type="textWrapping" w:clear="all"/>
      </w:r>
    </w:p>
    <w:p w14:paraId="2F6A0BF4" w14:textId="5F53E147" w:rsidR="003A1E70" w:rsidRDefault="003A1E70"/>
    <w:sectPr w:rsidR="003A1E70" w:rsidSect="00DF1E3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38A"/>
    <w:rsid w:val="00105756"/>
    <w:rsid w:val="00142645"/>
    <w:rsid w:val="001C486C"/>
    <w:rsid w:val="001E2670"/>
    <w:rsid w:val="0021662D"/>
    <w:rsid w:val="002545DC"/>
    <w:rsid w:val="0033352D"/>
    <w:rsid w:val="00381940"/>
    <w:rsid w:val="003A1E70"/>
    <w:rsid w:val="0060738A"/>
    <w:rsid w:val="009066F7"/>
    <w:rsid w:val="00A47377"/>
    <w:rsid w:val="00C67D8C"/>
    <w:rsid w:val="00DF1E34"/>
    <w:rsid w:val="00F267B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091F7D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575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2670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2670"/>
    <w:rPr>
      <w:rFonts w:ascii="Lucida Grande" w:hAnsi="Lucida Grande" w:cs="Lucida Grande"/>
      <w:sz w:val="18"/>
      <w:szCs w:val="18"/>
    </w:rPr>
  </w:style>
  <w:style w:type="character" w:styleId="LineNumber">
    <w:name w:val="line number"/>
    <w:basedOn w:val="DefaultParagraphFont"/>
    <w:uiPriority w:val="99"/>
    <w:semiHidden/>
    <w:unhideWhenUsed/>
    <w:rsid w:val="0021662D"/>
  </w:style>
  <w:style w:type="table" w:styleId="TableGrid">
    <w:name w:val="Table Grid"/>
    <w:basedOn w:val="TableNormal"/>
    <w:uiPriority w:val="59"/>
    <w:rsid w:val="0060738A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575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2670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2670"/>
    <w:rPr>
      <w:rFonts w:ascii="Lucida Grande" w:hAnsi="Lucida Grande" w:cs="Lucida Grande"/>
      <w:sz w:val="18"/>
      <w:szCs w:val="18"/>
    </w:rPr>
  </w:style>
  <w:style w:type="character" w:styleId="LineNumber">
    <w:name w:val="line number"/>
    <w:basedOn w:val="DefaultParagraphFont"/>
    <w:uiPriority w:val="99"/>
    <w:semiHidden/>
    <w:unhideWhenUsed/>
    <w:rsid w:val="0021662D"/>
  </w:style>
  <w:style w:type="table" w:styleId="TableGrid">
    <w:name w:val="Table Grid"/>
    <w:basedOn w:val="TableNormal"/>
    <w:uiPriority w:val="59"/>
    <w:rsid w:val="0060738A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1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4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113</Words>
  <Characters>646</Characters>
  <Application>Microsoft Macintosh Word</Application>
  <DocSecurity>0</DocSecurity>
  <Lines>5</Lines>
  <Paragraphs>1</Paragraphs>
  <ScaleCrop>false</ScaleCrop>
  <Company>California State University-Northridge</Company>
  <LinksUpToDate>false</LinksUpToDate>
  <CharactersWithSpaces>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Wall</dc:creator>
  <cp:keywords/>
  <dc:description/>
  <cp:lastModifiedBy>Chris Wall</cp:lastModifiedBy>
  <cp:revision>3</cp:revision>
  <dcterms:created xsi:type="dcterms:W3CDTF">2020-11-25T07:19:00Z</dcterms:created>
  <dcterms:modified xsi:type="dcterms:W3CDTF">2020-12-11T00:22:00Z</dcterms:modified>
</cp:coreProperties>
</file>