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0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3041"/>
        <w:gridCol w:w="900"/>
        <w:gridCol w:w="1080"/>
        <w:gridCol w:w="1116"/>
        <w:gridCol w:w="1224"/>
      </w:tblGrid>
      <w:tr w:rsidR="005142F8" w:rsidRPr="0086593F" w14:paraId="4EF5D8B8" w14:textId="77777777" w:rsidTr="00B30541">
        <w:tc>
          <w:tcPr>
            <w:tcW w:w="8460" w:type="dxa"/>
            <w:gridSpan w:val="6"/>
            <w:tcBorders>
              <w:bottom w:val="double" w:sz="4" w:space="0" w:color="A5A5A5" w:themeColor="accent3"/>
            </w:tcBorders>
          </w:tcPr>
          <w:p w14:paraId="4E3128C4" w14:textId="690DE36C" w:rsidR="005142F8" w:rsidRPr="005142F8" w:rsidRDefault="005142F8" w:rsidP="00B30541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3849EE">
              <w:rPr>
                <w:rFonts w:ascii="Times New Roman" w:hAnsi="Times New Roman" w:cs="Times New Roman"/>
                <w:b/>
                <w:bCs/>
              </w:rPr>
              <w:t>4</w:t>
            </w:r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D50EA7" w:rsidRPr="005142F8">
              <w:rPr>
                <w:rFonts w:ascii="Times New Roman" w:hAnsi="Times New Roman" w:cs="Times New Roman"/>
              </w:rPr>
              <w:t>Generalized additive model</w:t>
            </w:r>
            <w:r w:rsidR="00D50EA7">
              <w:rPr>
                <w:rFonts w:ascii="Times New Roman" w:hAnsi="Times New Roman" w:cs="Times New Roman"/>
              </w:rPr>
              <w:t>s</w:t>
            </w:r>
            <w:r w:rsidR="00D50EA7" w:rsidRPr="005142F8">
              <w:rPr>
                <w:rFonts w:ascii="Times New Roman" w:hAnsi="Times New Roman" w:cs="Times New Roman"/>
              </w:rPr>
              <w:t xml:space="preserve"> (GAM) testing treatment (burned vs. unburned) and factor-smooth interaction</w:t>
            </w:r>
            <w:r w:rsidR="00D50EA7">
              <w:rPr>
                <w:rFonts w:ascii="Times New Roman" w:hAnsi="Times New Roman" w:cs="Times New Roman"/>
              </w:rPr>
              <w:t xml:space="preserve"> effects on dissolved organic carbon </w:t>
            </w:r>
            <w:r w:rsidR="0032595B">
              <w:rPr>
                <w:rFonts w:ascii="Times New Roman" w:hAnsi="Times New Roman" w:cs="Times New Roman"/>
              </w:rPr>
              <w:t xml:space="preserve">(DOC) and </w:t>
            </w:r>
            <w:r w:rsidR="00D50EA7">
              <w:rPr>
                <w:rFonts w:ascii="Times New Roman" w:hAnsi="Times New Roman" w:cs="Times New Roman"/>
              </w:rPr>
              <w:t>total dissolved nitrogen</w:t>
            </w:r>
            <w:r w:rsidR="0032595B">
              <w:rPr>
                <w:rFonts w:ascii="Times New Roman" w:hAnsi="Times New Roman" w:cs="Times New Roman"/>
              </w:rPr>
              <w:t xml:space="preserve"> (TDN) at five time points and total phosphorous (TP) at one time point</w:t>
            </w:r>
            <w:r w:rsidR="00D50EA7">
              <w:rPr>
                <w:rFonts w:ascii="Times New Roman" w:hAnsi="Times New Roman" w:cs="Times New Roman"/>
              </w:rPr>
              <w:t>. S</w:t>
            </w:r>
            <w:r w:rsidR="00D50EA7" w:rsidRPr="005142F8">
              <w:rPr>
                <w:rFonts w:ascii="Times New Roman" w:hAnsi="Times New Roman" w:cs="Times New Roman"/>
              </w:rPr>
              <w:t xml:space="preserve">eparate smoothers </w:t>
            </w:r>
            <w:r w:rsidR="00D50EA7">
              <w:rPr>
                <w:rFonts w:ascii="Times New Roman" w:hAnsi="Times New Roman" w:cs="Times New Roman"/>
              </w:rPr>
              <w:t xml:space="preserve">were </w:t>
            </w:r>
            <w:r w:rsidR="00D50EA7" w:rsidRPr="005142F8">
              <w:rPr>
                <w:rFonts w:ascii="Times New Roman" w:hAnsi="Times New Roman" w:cs="Times New Roman"/>
              </w:rPr>
              <w:t>fit for burned and unburned data</w:t>
            </w:r>
            <w:r w:rsidR="00D50EA7">
              <w:rPr>
                <w:rFonts w:ascii="Times New Roman" w:hAnsi="Times New Roman" w:cs="Times New Roman"/>
              </w:rPr>
              <w:t xml:space="preserve">, and anova tables were generated by </w:t>
            </w:r>
            <w:r w:rsidR="00D50EA7" w:rsidRPr="008605CC">
              <w:rPr>
                <w:rFonts w:ascii="Times New Roman" w:hAnsi="Times New Roman" w:cs="Times New Roman"/>
                <w:i/>
                <w:iCs/>
              </w:rPr>
              <w:t>anova.gam</w:t>
            </w:r>
            <w:r w:rsidR="00D50EA7">
              <w:rPr>
                <w:rFonts w:ascii="Times New Roman" w:hAnsi="Times New Roman" w:cs="Times New Roman"/>
              </w:rPr>
              <w:t>().</w:t>
            </w:r>
          </w:p>
        </w:tc>
      </w:tr>
      <w:tr w:rsidR="00556196" w:rsidRPr="0086593F" w14:paraId="51B1F8BF" w14:textId="77777777" w:rsidTr="00B30541">
        <w:tc>
          <w:tcPr>
            <w:tcW w:w="4140" w:type="dxa"/>
            <w:gridSpan w:val="2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32C445F9" w14:textId="03A5BC70" w:rsidR="00556196" w:rsidRPr="00556196" w:rsidRDefault="00556196" w:rsidP="00B3054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Dissolved organic carbon (DOC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mg/L</w:t>
            </w: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) </w:t>
            </w:r>
          </w:p>
        </w:tc>
        <w:tc>
          <w:tcPr>
            <w:tcW w:w="90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EBD3D05" w14:textId="77777777" w:rsidR="00556196" w:rsidRPr="0086593F" w:rsidRDefault="00556196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72ECBCC9" w14:textId="77777777" w:rsidR="00556196" w:rsidRPr="0086593F" w:rsidRDefault="00556196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CDAC14F" w14:textId="5A57BCA4" w:rsidR="00556196" w:rsidRPr="0086593F" w:rsidRDefault="00556196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5F36BB08" w14:textId="77777777" w:rsidR="00556196" w:rsidRPr="0086593F" w:rsidRDefault="00556196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B85" w:rsidRPr="0086593F" w14:paraId="05BCC7B9" w14:textId="77777777" w:rsidTr="00B30541"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</w:tcPr>
          <w:p w14:paraId="33A0A53C" w14:textId="3FE8F8C2" w:rsidR="0086593F" w:rsidRPr="0086593F" w:rsidRDefault="0086593F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  <w:bottom w:val="single" w:sz="4" w:space="0" w:color="auto"/>
            </w:tcBorders>
          </w:tcPr>
          <w:p w14:paraId="34EFAD37" w14:textId="60164707" w:rsidR="0086593F" w:rsidRPr="00987BB1" w:rsidRDefault="0086593F" w:rsidP="00B3054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9D4D638" w14:textId="006FD2C2" w:rsidR="0086593F" w:rsidRPr="00987BB1" w:rsidRDefault="0086593F" w:rsidP="00B3054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 /edf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6CBBE0B" w14:textId="4BD818A0" w:rsidR="0086593F" w:rsidRPr="00987BB1" w:rsidRDefault="0086593F" w:rsidP="00B3054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252B07E0" w14:textId="7F1369B8" w:rsidR="0086593F" w:rsidRPr="00987BB1" w:rsidRDefault="0086593F" w:rsidP="00B3054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14:paraId="7ED9D491" w14:textId="7A341A90" w:rsidR="0086593F" w:rsidRPr="00987BB1" w:rsidRDefault="0086593F" w:rsidP="00B3054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987BB1" w:rsidRPr="0086593F" w14:paraId="1134515B" w14:textId="77777777" w:rsidTr="00B30541">
        <w:tc>
          <w:tcPr>
            <w:tcW w:w="1099" w:type="dxa"/>
            <w:tcBorders>
              <w:top w:val="single" w:sz="4" w:space="0" w:color="auto"/>
            </w:tcBorders>
          </w:tcPr>
          <w:p w14:paraId="3646C03A" w14:textId="2B62B46A" w:rsidR="00987BB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Day-0</w:t>
            </w: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3493781" w14:textId="0E248095" w:rsidR="00987BB1" w:rsidRPr="0086593F" w:rsidRDefault="000851B8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AE31FD0" w14:textId="2B02AF67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0851B8">
              <w:rPr>
                <w:rFonts w:ascii="Times New Roman" w:hAnsi="Times New Roman" w:cs="Times New Roman"/>
                <w:sz w:val="20"/>
                <w:szCs w:val="20"/>
              </w:rPr>
              <w:t>.040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5A0E16C" w14:textId="210FDAC3" w:rsidR="00987BB1" w:rsidRPr="0086593F" w:rsidRDefault="000851B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1.080</w:t>
            </w: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6484122" w14:textId="01767723" w:rsidR="00987BB1" w:rsidRPr="0086593F" w:rsidRDefault="000851B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1.341</w:t>
            </w: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0CF795A3" w14:textId="4E638C76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0851B8"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</w:tc>
      </w:tr>
      <w:tr w:rsidR="00987BB1" w:rsidRPr="0086593F" w14:paraId="7DE161AC" w14:textId="77777777" w:rsidTr="00B30541">
        <w:tc>
          <w:tcPr>
            <w:tcW w:w="1099" w:type="dxa"/>
            <w:tcBorders>
              <w:top w:val="single" w:sz="4" w:space="0" w:color="auto"/>
            </w:tcBorders>
          </w:tcPr>
          <w:p w14:paraId="68D05087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1AAE2B7A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6C6B865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8D58334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09CC2B3" w14:textId="323B526A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08E615DD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162B38D0" w14:textId="77777777" w:rsidTr="00B30541">
        <w:tc>
          <w:tcPr>
            <w:tcW w:w="1099" w:type="dxa"/>
          </w:tcPr>
          <w:p w14:paraId="4A6D11FF" w14:textId="6F7194FD" w:rsidR="00987BB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3041" w:type="dxa"/>
          </w:tcPr>
          <w:p w14:paraId="5558500F" w14:textId="3F891919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380422EC" w14:textId="13D9F139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B845E58" w14:textId="1065AE8C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</w:tcPr>
          <w:p w14:paraId="11BC788D" w14:textId="22171B70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9.571</w:t>
            </w:r>
          </w:p>
        </w:tc>
        <w:tc>
          <w:tcPr>
            <w:tcW w:w="1224" w:type="dxa"/>
          </w:tcPr>
          <w:p w14:paraId="06697146" w14:textId="38F74110" w:rsidR="00987BB1" w:rsidRPr="00170D88" w:rsidRDefault="00987B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0.005</w:t>
            </w:r>
          </w:p>
        </w:tc>
      </w:tr>
      <w:tr w:rsidR="00987BB1" w:rsidRPr="0086593F" w14:paraId="505D8966" w14:textId="77777777" w:rsidTr="00B30541">
        <w:tc>
          <w:tcPr>
            <w:tcW w:w="1099" w:type="dxa"/>
          </w:tcPr>
          <w:p w14:paraId="132F47C0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17E04F78" w14:textId="6B02BAE3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3556359" w14:textId="0BA96C14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3.623</w:t>
            </w:r>
          </w:p>
        </w:tc>
        <w:tc>
          <w:tcPr>
            <w:tcW w:w="1080" w:type="dxa"/>
          </w:tcPr>
          <w:p w14:paraId="18F17703" w14:textId="5D206990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4.412</w:t>
            </w:r>
          </w:p>
        </w:tc>
        <w:tc>
          <w:tcPr>
            <w:tcW w:w="1116" w:type="dxa"/>
          </w:tcPr>
          <w:p w14:paraId="4DD0FC03" w14:textId="2A23DE07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119.7</w:t>
            </w:r>
          </w:p>
        </w:tc>
        <w:tc>
          <w:tcPr>
            <w:tcW w:w="1224" w:type="dxa"/>
          </w:tcPr>
          <w:p w14:paraId="6560DF25" w14:textId="7D83E7F3" w:rsidR="00987BB1" w:rsidRPr="00170D88" w:rsidRDefault="00987B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77814F0B" w14:textId="77777777" w:rsidTr="00B30541">
        <w:tc>
          <w:tcPr>
            <w:tcW w:w="1099" w:type="dxa"/>
            <w:tcBorders>
              <w:bottom w:val="single" w:sz="4" w:space="0" w:color="auto"/>
            </w:tcBorders>
          </w:tcPr>
          <w:p w14:paraId="658AF670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F1D015A" w14:textId="410FF4E9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6C9AB4B" w14:textId="0C671467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3.151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937C43C" w14:textId="2B468CF8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3.853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1BD2EAA" w14:textId="722D1FF3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149.1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01B42879" w14:textId="3C416E9C" w:rsidR="00987BB1" w:rsidRPr="00170D88" w:rsidRDefault="00987B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1C0037F4" w14:textId="77777777" w:rsidTr="00B30541">
        <w:tc>
          <w:tcPr>
            <w:tcW w:w="1099" w:type="dxa"/>
            <w:tcBorders>
              <w:top w:val="single" w:sz="4" w:space="0" w:color="auto"/>
            </w:tcBorders>
          </w:tcPr>
          <w:p w14:paraId="36C255D4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8638818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D68F800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FA46C9E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EFF1ECC" w14:textId="3B6FEB58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5C4D4941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183DF227" w14:textId="77777777" w:rsidTr="00B30541">
        <w:tc>
          <w:tcPr>
            <w:tcW w:w="1099" w:type="dxa"/>
          </w:tcPr>
          <w:p w14:paraId="4F6F5059" w14:textId="728DD0DD" w:rsidR="00987BB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3041" w:type="dxa"/>
          </w:tcPr>
          <w:p w14:paraId="7C6A55D2" w14:textId="7114DD78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66B6449" w14:textId="353D2C9E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6F9E1A3" w14:textId="27D322CF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</w:tcPr>
          <w:p w14:paraId="30F2F5E6" w14:textId="619C29D8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0.035</w:t>
            </w:r>
          </w:p>
        </w:tc>
        <w:tc>
          <w:tcPr>
            <w:tcW w:w="1224" w:type="dxa"/>
          </w:tcPr>
          <w:p w14:paraId="73D046ED" w14:textId="516423FC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0.853</w:t>
            </w:r>
          </w:p>
        </w:tc>
      </w:tr>
      <w:tr w:rsidR="00987BB1" w:rsidRPr="0086593F" w14:paraId="17C4E0A4" w14:textId="77777777" w:rsidTr="00B30541">
        <w:tc>
          <w:tcPr>
            <w:tcW w:w="1099" w:type="dxa"/>
          </w:tcPr>
          <w:p w14:paraId="6F01C42D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31CFEAC2" w14:textId="292068FD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06DEA6C" w14:textId="0A954851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6.482</w:t>
            </w:r>
          </w:p>
        </w:tc>
        <w:tc>
          <w:tcPr>
            <w:tcW w:w="1080" w:type="dxa"/>
          </w:tcPr>
          <w:p w14:paraId="35135784" w14:textId="0F29D28D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7.532</w:t>
            </w:r>
          </w:p>
        </w:tc>
        <w:tc>
          <w:tcPr>
            <w:tcW w:w="1116" w:type="dxa"/>
          </w:tcPr>
          <w:p w14:paraId="63C6F1D2" w14:textId="3A27B33F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34.39</w:t>
            </w:r>
          </w:p>
        </w:tc>
        <w:tc>
          <w:tcPr>
            <w:tcW w:w="1224" w:type="dxa"/>
          </w:tcPr>
          <w:p w14:paraId="6237F528" w14:textId="0013DB4B" w:rsidR="00987BB1" w:rsidRPr="00170D88" w:rsidRDefault="00987B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3A7FA1A8" w14:textId="77777777" w:rsidTr="00B30541">
        <w:tc>
          <w:tcPr>
            <w:tcW w:w="1099" w:type="dxa"/>
            <w:tcBorders>
              <w:bottom w:val="single" w:sz="4" w:space="0" w:color="auto"/>
            </w:tcBorders>
          </w:tcPr>
          <w:p w14:paraId="76EAB6A3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56D7ADC" w14:textId="54E894DE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0F1645" w14:textId="20E9E527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1.568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A2DCB3B" w14:textId="28E1CF63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1.929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01D658CB" w14:textId="042397DA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59.34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171923D0" w14:textId="76C6F34E" w:rsidR="00987BB1" w:rsidRPr="00170D88" w:rsidRDefault="00987B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4F956371" w14:textId="77777777" w:rsidTr="00B30541">
        <w:tc>
          <w:tcPr>
            <w:tcW w:w="1099" w:type="dxa"/>
            <w:tcBorders>
              <w:top w:val="single" w:sz="4" w:space="0" w:color="auto"/>
            </w:tcBorders>
          </w:tcPr>
          <w:p w14:paraId="4D697243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1515213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7C685A9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926A0BB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602674E" w14:textId="39DA5CCB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0541FD0C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3B629265" w14:textId="77777777" w:rsidTr="00B30541">
        <w:tc>
          <w:tcPr>
            <w:tcW w:w="1099" w:type="dxa"/>
          </w:tcPr>
          <w:p w14:paraId="3114B4BA" w14:textId="4C29A845" w:rsidR="00987BB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3041" w:type="dxa"/>
          </w:tcPr>
          <w:p w14:paraId="026612C6" w14:textId="2DF36D6E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0EAE92F" w14:textId="042963F7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758A840" w14:textId="429522FF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</w:tcPr>
          <w:p w14:paraId="6F006CD7" w14:textId="76BBA2A0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12.32</w:t>
            </w:r>
          </w:p>
        </w:tc>
        <w:tc>
          <w:tcPr>
            <w:tcW w:w="1224" w:type="dxa"/>
          </w:tcPr>
          <w:p w14:paraId="7E5C70DC" w14:textId="7A46D6C1" w:rsidR="00987BB1" w:rsidRPr="00170D88" w:rsidRDefault="00987B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0.002</w:t>
            </w:r>
          </w:p>
        </w:tc>
      </w:tr>
      <w:tr w:rsidR="00987BB1" w:rsidRPr="0086593F" w14:paraId="42DA7360" w14:textId="77777777" w:rsidTr="00B30541">
        <w:tc>
          <w:tcPr>
            <w:tcW w:w="1099" w:type="dxa"/>
          </w:tcPr>
          <w:p w14:paraId="4F970AE0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70891993" w14:textId="4165BEFA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56A71350" w14:textId="38FF5AF4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2.051</w:t>
            </w:r>
          </w:p>
        </w:tc>
        <w:tc>
          <w:tcPr>
            <w:tcW w:w="1080" w:type="dxa"/>
          </w:tcPr>
          <w:p w14:paraId="64C15A22" w14:textId="6B7609EA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2.532</w:t>
            </w:r>
          </w:p>
        </w:tc>
        <w:tc>
          <w:tcPr>
            <w:tcW w:w="1116" w:type="dxa"/>
          </w:tcPr>
          <w:p w14:paraId="629CC817" w14:textId="17D87BAC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94.00</w:t>
            </w:r>
          </w:p>
        </w:tc>
        <w:tc>
          <w:tcPr>
            <w:tcW w:w="1224" w:type="dxa"/>
          </w:tcPr>
          <w:p w14:paraId="33B50701" w14:textId="578A1139" w:rsidR="00987BB1" w:rsidRPr="00170D88" w:rsidRDefault="00987B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22850F14" w14:textId="77777777" w:rsidTr="00B30541">
        <w:tc>
          <w:tcPr>
            <w:tcW w:w="1099" w:type="dxa"/>
            <w:tcBorders>
              <w:bottom w:val="single" w:sz="4" w:space="0" w:color="auto"/>
            </w:tcBorders>
          </w:tcPr>
          <w:p w14:paraId="518904B0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085B379" w14:textId="294AC78A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42F322" w14:textId="316C645F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2.202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E955D25" w14:textId="20B32704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2.714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77658CF" w14:textId="00C28065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56.55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2239E7F9" w14:textId="011ECCC4" w:rsidR="00987BB1" w:rsidRPr="005142F8" w:rsidRDefault="00987B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42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00B8BBB6" w14:textId="77777777" w:rsidTr="00B30541">
        <w:tc>
          <w:tcPr>
            <w:tcW w:w="1099" w:type="dxa"/>
            <w:tcBorders>
              <w:top w:val="single" w:sz="4" w:space="0" w:color="auto"/>
            </w:tcBorders>
          </w:tcPr>
          <w:p w14:paraId="19B882C0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67CD205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D91F498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2B70B3F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361187A" w14:textId="63230D03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2EF4CF12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C76DB1" w:rsidRPr="0086593F" w14:paraId="7C64B052" w14:textId="77777777" w:rsidTr="00B30541">
        <w:tc>
          <w:tcPr>
            <w:tcW w:w="1099" w:type="dxa"/>
          </w:tcPr>
          <w:p w14:paraId="4A05E43F" w14:textId="0D012262" w:rsidR="00C76DB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Day-89</w:t>
            </w:r>
          </w:p>
        </w:tc>
        <w:tc>
          <w:tcPr>
            <w:tcW w:w="3041" w:type="dxa"/>
          </w:tcPr>
          <w:p w14:paraId="5F122864" w14:textId="35CF3B23" w:rsidR="00C76DB1" w:rsidRPr="0086593F" w:rsidRDefault="00C76D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</w:tcPr>
          <w:p w14:paraId="56A47206" w14:textId="61F6B65D" w:rsidR="00C76DB1" w:rsidRPr="0086593F" w:rsidRDefault="00C76D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1.928</w:t>
            </w:r>
          </w:p>
        </w:tc>
        <w:tc>
          <w:tcPr>
            <w:tcW w:w="1080" w:type="dxa"/>
          </w:tcPr>
          <w:p w14:paraId="0F0248FB" w14:textId="46F0F4FC" w:rsidR="00C76DB1" w:rsidRPr="0086593F" w:rsidRDefault="00C76D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2.385</w:t>
            </w:r>
          </w:p>
        </w:tc>
        <w:tc>
          <w:tcPr>
            <w:tcW w:w="1116" w:type="dxa"/>
          </w:tcPr>
          <w:p w14:paraId="7DB72705" w14:textId="25E92491" w:rsidR="00C76DB1" w:rsidRPr="0086593F" w:rsidRDefault="00C76D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29.80</w:t>
            </w:r>
          </w:p>
        </w:tc>
        <w:tc>
          <w:tcPr>
            <w:tcW w:w="1224" w:type="dxa"/>
          </w:tcPr>
          <w:p w14:paraId="7660D8A9" w14:textId="54898CD2" w:rsidR="00C76DB1" w:rsidRPr="0086593F" w:rsidRDefault="00C76D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7CA3613B" w14:textId="77777777" w:rsidTr="00B30541">
        <w:tc>
          <w:tcPr>
            <w:tcW w:w="1099" w:type="dxa"/>
            <w:tcBorders>
              <w:top w:val="single" w:sz="4" w:space="0" w:color="auto"/>
            </w:tcBorders>
          </w:tcPr>
          <w:p w14:paraId="4C5774E8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22CC019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9D2546E" w14:textId="77777777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4FDAF2B" w14:textId="77777777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0335C8BC" w14:textId="77777777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41628C0B" w14:textId="77777777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2C5F14C0" w14:textId="77777777" w:rsidTr="00B30541">
        <w:tc>
          <w:tcPr>
            <w:tcW w:w="4140" w:type="dxa"/>
            <w:gridSpan w:val="2"/>
            <w:tcBorders>
              <w:bottom w:val="single" w:sz="4" w:space="0" w:color="auto"/>
            </w:tcBorders>
          </w:tcPr>
          <w:p w14:paraId="06CEE667" w14:textId="67445285" w:rsidR="00987BB1" w:rsidRPr="00556196" w:rsidRDefault="00987BB1" w:rsidP="00B3054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dissolved nitrogen (TDN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mg/L)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A69A1AF" w14:textId="6D3400C0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16C8D1E" w14:textId="4DE88B47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C6E89DF" w14:textId="1EBCD949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47ABFEE9" w14:textId="191A3DAD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175BD80C" w14:textId="77777777" w:rsidTr="00B30541">
        <w:tc>
          <w:tcPr>
            <w:tcW w:w="1099" w:type="dxa"/>
            <w:tcBorders>
              <w:top w:val="single" w:sz="4" w:space="0" w:color="auto"/>
            </w:tcBorders>
          </w:tcPr>
          <w:p w14:paraId="56ABD700" w14:textId="332BAC78" w:rsidR="00987BB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Day-0</w:t>
            </w: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1963FF42" w14:textId="1C49DF0C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C443BCD" w14:textId="55BABEA2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0B7037C" w14:textId="13608D10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180D87FD" w14:textId="311C8D5C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0.879</w:t>
            </w: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5A26A384" w14:textId="27A0A47C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0.357</w:t>
            </w:r>
          </w:p>
        </w:tc>
      </w:tr>
      <w:tr w:rsidR="00987BB1" w:rsidRPr="0086593F" w14:paraId="1642D9D5" w14:textId="77777777" w:rsidTr="00B30541">
        <w:tc>
          <w:tcPr>
            <w:tcW w:w="1099" w:type="dxa"/>
          </w:tcPr>
          <w:p w14:paraId="397BF6B6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63B4805A" w14:textId="664E9F5B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EACED8A" w14:textId="2BB0B4C1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6B218FBC" w14:textId="698BED69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</w:tcPr>
          <w:p w14:paraId="01941FE1" w14:textId="6AA4AB77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0.009</w:t>
            </w:r>
          </w:p>
        </w:tc>
        <w:tc>
          <w:tcPr>
            <w:tcW w:w="1224" w:type="dxa"/>
          </w:tcPr>
          <w:p w14:paraId="2A97A287" w14:textId="7837319B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0.927</w:t>
            </w:r>
          </w:p>
        </w:tc>
      </w:tr>
      <w:tr w:rsidR="00987BB1" w:rsidRPr="0086593F" w14:paraId="2288145E" w14:textId="77777777" w:rsidTr="00B30541">
        <w:tc>
          <w:tcPr>
            <w:tcW w:w="1099" w:type="dxa"/>
            <w:tcBorders>
              <w:bottom w:val="single" w:sz="4" w:space="0" w:color="auto"/>
            </w:tcBorders>
          </w:tcPr>
          <w:p w14:paraId="1DAB759E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55CBF731" w14:textId="6BF06E0E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D6EB42" w14:textId="472056A0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C0BF3AE" w14:textId="0AB6E87E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61903699" w14:textId="0D46E60F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6.303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748B63FF" w14:textId="3956DD4A" w:rsidR="00987BB1" w:rsidRPr="00170D88" w:rsidRDefault="00987B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0.019</w:t>
            </w:r>
          </w:p>
        </w:tc>
      </w:tr>
      <w:tr w:rsidR="00987BB1" w:rsidRPr="0086593F" w14:paraId="5D50AF9E" w14:textId="77777777" w:rsidTr="00B30541">
        <w:tc>
          <w:tcPr>
            <w:tcW w:w="1099" w:type="dxa"/>
            <w:tcBorders>
              <w:top w:val="single" w:sz="4" w:space="0" w:color="auto"/>
            </w:tcBorders>
          </w:tcPr>
          <w:p w14:paraId="59820ED2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D7F82BA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4FC6FDC0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001830C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750D2418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142EAA87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796C6F9B" w14:textId="77777777" w:rsidTr="00B30541">
        <w:tc>
          <w:tcPr>
            <w:tcW w:w="1099" w:type="dxa"/>
          </w:tcPr>
          <w:p w14:paraId="7B6E3189" w14:textId="6FC07E90" w:rsidR="00987BB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3041" w:type="dxa"/>
          </w:tcPr>
          <w:p w14:paraId="4D6F5F9C" w14:textId="053E0139" w:rsidR="00987BB1" w:rsidRPr="0086593F" w:rsidRDefault="00C76D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</w:p>
        </w:tc>
        <w:tc>
          <w:tcPr>
            <w:tcW w:w="900" w:type="dxa"/>
          </w:tcPr>
          <w:p w14:paraId="44B3D3D7" w14:textId="5D7F10AF" w:rsidR="00987BB1" w:rsidRDefault="00C76D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B10DB1">
              <w:rPr>
                <w:rFonts w:ascii="Times New Roman" w:hAnsi="Times New Roman" w:cs="Times New Roman"/>
                <w:sz w:val="20"/>
                <w:szCs w:val="20"/>
              </w:rPr>
              <w:t>848</w:t>
            </w:r>
          </w:p>
        </w:tc>
        <w:tc>
          <w:tcPr>
            <w:tcW w:w="1080" w:type="dxa"/>
          </w:tcPr>
          <w:p w14:paraId="41D2B5B9" w14:textId="64B17B3E" w:rsidR="00987BB1" w:rsidRDefault="00B10D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3.492</w:t>
            </w:r>
          </w:p>
        </w:tc>
        <w:tc>
          <w:tcPr>
            <w:tcW w:w="1116" w:type="dxa"/>
          </w:tcPr>
          <w:p w14:paraId="4B925326" w14:textId="65E4E75F" w:rsidR="00987BB1" w:rsidRDefault="00B10D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5.720</w:t>
            </w:r>
          </w:p>
        </w:tc>
        <w:tc>
          <w:tcPr>
            <w:tcW w:w="1224" w:type="dxa"/>
          </w:tcPr>
          <w:p w14:paraId="478CA395" w14:textId="69549862" w:rsidR="00987BB1" w:rsidRPr="00B10DB1" w:rsidRDefault="00B10D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D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0.003</w:t>
            </w:r>
          </w:p>
        </w:tc>
      </w:tr>
      <w:tr w:rsidR="00987BB1" w:rsidRPr="0086593F" w14:paraId="2880A9B5" w14:textId="77777777" w:rsidTr="00B30541">
        <w:tc>
          <w:tcPr>
            <w:tcW w:w="1099" w:type="dxa"/>
            <w:tcBorders>
              <w:top w:val="single" w:sz="4" w:space="0" w:color="auto"/>
            </w:tcBorders>
          </w:tcPr>
          <w:p w14:paraId="4E9FC3DD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229CB00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85DB768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E520D03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CCA0C38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1E43C246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52E1D309" w14:textId="77777777" w:rsidTr="00B30541">
        <w:tc>
          <w:tcPr>
            <w:tcW w:w="1099" w:type="dxa"/>
          </w:tcPr>
          <w:p w14:paraId="6AFB5A05" w14:textId="264E7951" w:rsidR="00987BB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3041" w:type="dxa"/>
          </w:tcPr>
          <w:p w14:paraId="47B966C8" w14:textId="34CA1AFA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EA8CEF7" w14:textId="51AEEEF7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D189813" w14:textId="5EBEB7BA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</w:tcPr>
          <w:p w14:paraId="538EC92C" w14:textId="2391C82E" w:rsidR="00987BB1" w:rsidRDefault="00B778FC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4.122</w:t>
            </w:r>
          </w:p>
        </w:tc>
        <w:tc>
          <w:tcPr>
            <w:tcW w:w="1224" w:type="dxa"/>
          </w:tcPr>
          <w:p w14:paraId="27C886A3" w14:textId="0B751C27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  <w:r w:rsidR="00B778FC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</w:tr>
      <w:tr w:rsidR="00987BB1" w:rsidRPr="0086593F" w14:paraId="6470D132" w14:textId="77777777" w:rsidTr="00B30541">
        <w:tc>
          <w:tcPr>
            <w:tcW w:w="1099" w:type="dxa"/>
            <w:tcBorders>
              <w:bottom w:val="single" w:sz="4" w:space="0" w:color="auto"/>
            </w:tcBorders>
          </w:tcPr>
          <w:p w14:paraId="64082A03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840ACAD" w14:textId="280DF5A2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42D3ECA" w14:textId="0B52AFED" w:rsidR="00987BB1" w:rsidRDefault="00B778FC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3.207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6CEB255" w14:textId="464F711F" w:rsidR="00987BB1" w:rsidRDefault="00B778FC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3.921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9C56C0" w14:textId="4FE683C9" w:rsidR="00987BB1" w:rsidRDefault="00B778FC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4.870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62B8BE7E" w14:textId="026A95CD" w:rsidR="00987BB1" w:rsidRPr="00170D88" w:rsidRDefault="00987B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</w:t>
            </w:r>
            <w:r w:rsidR="00B778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04</w:t>
            </w:r>
          </w:p>
        </w:tc>
      </w:tr>
      <w:tr w:rsidR="00987BB1" w:rsidRPr="0086593F" w14:paraId="569E7A96" w14:textId="77777777" w:rsidTr="00B30541">
        <w:tc>
          <w:tcPr>
            <w:tcW w:w="1099" w:type="dxa"/>
            <w:tcBorders>
              <w:top w:val="single" w:sz="4" w:space="0" w:color="auto"/>
            </w:tcBorders>
          </w:tcPr>
          <w:p w14:paraId="57165ACE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0FA68368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20BD5D9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B1787A1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70BADBE4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4B92B7B5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73D0AFB8" w14:textId="77777777" w:rsidTr="00B30541">
        <w:tc>
          <w:tcPr>
            <w:tcW w:w="1099" w:type="dxa"/>
          </w:tcPr>
          <w:p w14:paraId="18D1B28C" w14:textId="274FAEBD" w:rsidR="00987BB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3041" w:type="dxa"/>
          </w:tcPr>
          <w:p w14:paraId="3FBB6779" w14:textId="45D0B5EE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37D52CB" w14:textId="714A6C76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9DDF450" w14:textId="559B3F7F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</w:tcPr>
          <w:p w14:paraId="62F26E3D" w14:textId="2CF43BC0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3.500</w:t>
            </w:r>
          </w:p>
        </w:tc>
        <w:tc>
          <w:tcPr>
            <w:tcW w:w="1224" w:type="dxa"/>
          </w:tcPr>
          <w:p w14:paraId="097BF773" w14:textId="45F79E41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0.075</w:t>
            </w:r>
          </w:p>
        </w:tc>
      </w:tr>
      <w:tr w:rsidR="00987BB1" w:rsidRPr="0086593F" w14:paraId="66400FCA" w14:textId="77777777" w:rsidTr="00B30541">
        <w:tc>
          <w:tcPr>
            <w:tcW w:w="1099" w:type="dxa"/>
          </w:tcPr>
          <w:p w14:paraId="27F227D9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FEF6901" w14:textId="6123364E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6E9C158A" w14:textId="4E8CDAF5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4.359</w:t>
            </w:r>
          </w:p>
        </w:tc>
        <w:tc>
          <w:tcPr>
            <w:tcW w:w="1080" w:type="dxa"/>
          </w:tcPr>
          <w:p w14:paraId="74F34897" w14:textId="09868765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5.269</w:t>
            </w:r>
          </w:p>
        </w:tc>
        <w:tc>
          <w:tcPr>
            <w:tcW w:w="1116" w:type="dxa"/>
          </w:tcPr>
          <w:p w14:paraId="3434B3A1" w14:textId="6057D660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23.03</w:t>
            </w:r>
          </w:p>
        </w:tc>
        <w:tc>
          <w:tcPr>
            <w:tcW w:w="1224" w:type="dxa"/>
          </w:tcPr>
          <w:p w14:paraId="64DBFB2E" w14:textId="6D0DEE49" w:rsidR="00987BB1" w:rsidRPr="00170D88" w:rsidRDefault="00987B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51F8DEFB" w14:textId="77777777" w:rsidTr="00B30541">
        <w:tc>
          <w:tcPr>
            <w:tcW w:w="1099" w:type="dxa"/>
            <w:tcBorders>
              <w:bottom w:val="single" w:sz="4" w:space="0" w:color="auto"/>
            </w:tcBorders>
          </w:tcPr>
          <w:p w14:paraId="42AAB0CB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94D319E" w14:textId="474E4C5B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1753405" w14:textId="7FA479E5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2.457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8597171" w14:textId="2EF92B40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3.022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A61DCC8" w14:textId="63A8429C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10.52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175FD19B" w14:textId="42D5A54F" w:rsidR="00987BB1" w:rsidRPr="00170D88" w:rsidRDefault="00987B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5FCBFA96" w14:textId="77777777" w:rsidTr="00B30541">
        <w:tc>
          <w:tcPr>
            <w:tcW w:w="1099" w:type="dxa"/>
            <w:tcBorders>
              <w:top w:val="single" w:sz="4" w:space="0" w:color="auto"/>
            </w:tcBorders>
          </w:tcPr>
          <w:p w14:paraId="538F1B73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341CE392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35314E1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554E876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1566BFDA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21DABE87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7595FE16" w14:textId="77777777" w:rsidTr="00B30541">
        <w:tc>
          <w:tcPr>
            <w:tcW w:w="1099" w:type="dxa"/>
          </w:tcPr>
          <w:p w14:paraId="2F593984" w14:textId="4802F1EC" w:rsidR="00987BB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Day-89</w:t>
            </w:r>
          </w:p>
        </w:tc>
        <w:tc>
          <w:tcPr>
            <w:tcW w:w="3041" w:type="dxa"/>
          </w:tcPr>
          <w:p w14:paraId="0D003B72" w14:textId="2FB05918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5CF54A9F" w14:textId="1933958D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93C972B" w14:textId="3FDFDEAD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</w:tcPr>
          <w:p w14:paraId="34802B8E" w14:textId="20F272A0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6.231</w:t>
            </w:r>
          </w:p>
        </w:tc>
        <w:tc>
          <w:tcPr>
            <w:tcW w:w="1224" w:type="dxa"/>
          </w:tcPr>
          <w:p w14:paraId="3413C5BF" w14:textId="100E9662" w:rsidR="00987BB1" w:rsidRPr="00170D88" w:rsidRDefault="00987B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0.020</w:t>
            </w:r>
          </w:p>
        </w:tc>
      </w:tr>
      <w:tr w:rsidR="00987BB1" w:rsidRPr="0086593F" w14:paraId="337B7C9F" w14:textId="77777777" w:rsidTr="00B30541">
        <w:tc>
          <w:tcPr>
            <w:tcW w:w="1099" w:type="dxa"/>
          </w:tcPr>
          <w:p w14:paraId="164179B2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68E66420" w14:textId="48AD138C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699BFDE2" w14:textId="4F4C0BBA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2.417</w:t>
            </w:r>
          </w:p>
        </w:tc>
        <w:tc>
          <w:tcPr>
            <w:tcW w:w="1080" w:type="dxa"/>
          </w:tcPr>
          <w:p w14:paraId="2067B446" w14:textId="470A88DA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2.973</w:t>
            </w:r>
          </w:p>
        </w:tc>
        <w:tc>
          <w:tcPr>
            <w:tcW w:w="1116" w:type="dxa"/>
          </w:tcPr>
          <w:p w14:paraId="457BADDB" w14:textId="1B709F9C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3.613</w:t>
            </w:r>
          </w:p>
        </w:tc>
        <w:tc>
          <w:tcPr>
            <w:tcW w:w="1224" w:type="dxa"/>
          </w:tcPr>
          <w:p w14:paraId="34C98EE3" w14:textId="6C761695" w:rsidR="00987BB1" w:rsidRPr="00170D88" w:rsidRDefault="00987B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0.032</w:t>
            </w:r>
          </w:p>
        </w:tc>
      </w:tr>
      <w:tr w:rsidR="00987BB1" w:rsidRPr="0086593F" w14:paraId="764E813E" w14:textId="77777777" w:rsidTr="00B30541">
        <w:tc>
          <w:tcPr>
            <w:tcW w:w="1099" w:type="dxa"/>
            <w:tcBorders>
              <w:bottom w:val="single" w:sz="4" w:space="0" w:color="auto"/>
            </w:tcBorders>
          </w:tcPr>
          <w:p w14:paraId="7D2400EA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6943FAE1" w14:textId="3CC12B66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FFC7CE7" w14:textId="2849B2D0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4508ABA" w14:textId="42191235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60E6CF1F" w14:textId="06FF15CF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0.531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11A4B207" w14:textId="799E87C5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0.473</w:t>
            </w:r>
          </w:p>
        </w:tc>
      </w:tr>
      <w:tr w:rsidR="007D1911" w:rsidRPr="0086593F" w14:paraId="7E0E70AD" w14:textId="77777777" w:rsidTr="00B30541">
        <w:tc>
          <w:tcPr>
            <w:tcW w:w="1099" w:type="dxa"/>
            <w:tcBorders>
              <w:top w:val="single" w:sz="4" w:space="0" w:color="auto"/>
            </w:tcBorders>
          </w:tcPr>
          <w:p w14:paraId="73ED384E" w14:textId="77777777" w:rsidR="007D1911" w:rsidRPr="0086593F" w:rsidRDefault="007D191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E960BC2" w14:textId="77777777" w:rsidR="007D1911" w:rsidRPr="0086593F" w:rsidRDefault="007D191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D4E0266" w14:textId="77777777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4BEAC58" w14:textId="77777777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21E662AB" w14:textId="77777777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1E640487" w14:textId="77777777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911" w:rsidRPr="0086593F" w14:paraId="558032A8" w14:textId="77777777" w:rsidTr="00B30541">
        <w:tc>
          <w:tcPr>
            <w:tcW w:w="4140" w:type="dxa"/>
            <w:gridSpan w:val="2"/>
            <w:tcBorders>
              <w:bottom w:val="single" w:sz="4" w:space="0" w:color="auto"/>
            </w:tcBorders>
          </w:tcPr>
          <w:p w14:paraId="3CA63B1E" w14:textId="50CECBB2" w:rsidR="007D1911" w:rsidRPr="007D1911" w:rsidRDefault="007D1911" w:rsidP="00B3054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19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Total phosphorus (TP </w:t>
            </w:r>
            <w:r w:rsidRPr="007D19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sym w:font="Symbol" w:char="F06D"/>
            </w:r>
            <w:r w:rsidRPr="007D19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mol/L)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036D23A" w14:textId="77777777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22BDD3A" w14:textId="77777777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7D2D1F6" w14:textId="77777777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7DCDA6AD" w14:textId="77777777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911" w:rsidRPr="0086593F" w14:paraId="6A96DB18" w14:textId="77777777" w:rsidTr="00B30541">
        <w:tc>
          <w:tcPr>
            <w:tcW w:w="1099" w:type="dxa"/>
            <w:tcBorders>
              <w:top w:val="single" w:sz="4" w:space="0" w:color="auto"/>
            </w:tcBorders>
          </w:tcPr>
          <w:p w14:paraId="0B05A18D" w14:textId="76C7DD78" w:rsidR="007D191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721345B5" w14:textId="4F086EE7" w:rsidR="007D1911" w:rsidRPr="0086593F" w:rsidRDefault="007D191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68662664" w14:textId="7218015D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1DBAB10" w14:textId="7DCC3E98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533E4B65" w14:textId="51752CA4" w:rsidR="007D1911" w:rsidRDefault="0032595B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1.329</w:t>
            </w: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17DF3F94" w14:textId="65FF4285" w:rsidR="007D1911" w:rsidRDefault="0032595B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0.267</w:t>
            </w:r>
          </w:p>
        </w:tc>
      </w:tr>
      <w:tr w:rsidR="007D1911" w:rsidRPr="0086593F" w14:paraId="198A6E0A" w14:textId="77777777" w:rsidTr="00B30541">
        <w:tc>
          <w:tcPr>
            <w:tcW w:w="1099" w:type="dxa"/>
          </w:tcPr>
          <w:p w14:paraId="386008C0" w14:textId="77777777" w:rsidR="007D1911" w:rsidRPr="0086593F" w:rsidRDefault="007D191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573C9034" w14:textId="1193624C" w:rsidR="007D1911" w:rsidRPr="0086593F" w:rsidRDefault="007D191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49750EA8" w14:textId="7DE98482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2.924</w:t>
            </w:r>
          </w:p>
        </w:tc>
        <w:tc>
          <w:tcPr>
            <w:tcW w:w="1080" w:type="dxa"/>
          </w:tcPr>
          <w:p w14:paraId="2AC00EDC" w14:textId="78F9FF24" w:rsidR="007D1911" w:rsidRDefault="0032595B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3.525</w:t>
            </w:r>
          </w:p>
        </w:tc>
        <w:tc>
          <w:tcPr>
            <w:tcW w:w="1116" w:type="dxa"/>
          </w:tcPr>
          <w:p w14:paraId="2506E0DF" w14:textId="3DB50231" w:rsidR="007D1911" w:rsidRDefault="0032595B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154.7</w:t>
            </w:r>
          </w:p>
        </w:tc>
        <w:tc>
          <w:tcPr>
            <w:tcW w:w="1224" w:type="dxa"/>
          </w:tcPr>
          <w:p w14:paraId="13ED816A" w14:textId="610F8A71" w:rsidR="007D1911" w:rsidRPr="0032595B" w:rsidRDefault="0032595B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259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7D1911" w:rsidRPr="0086593F" w14:paraId="4A367F86" w14:textId="77777777" w:rsidTr="00B30541">
        <w:tc>
          <w:tcPr>
            <w:tcW w:w="1099" w:type="dxa"/>
          </w:tcPr>
          <w:p w14:paraId="0A3C3844" w14:textId="77777777" w:rsidR="007D1911" w:rsidRPr="0086593F" w:rsidRDefault="007D191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434735E3" w14:textId="5E2EB0EF" w:rsidR="007D1911" w:rsidRPr="0086593F" w:rsidRDefault="007D191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</w:tcPr>
          <w:p w14:paraId="1DEB0D40" w14:textId="49251229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2.930</w:t>
            </w:r>
          </w:p>
        </w:tc>
        <w:tc>
          <w:tcPr>
            <w:tcW w:w="1080" w:type="dxa"/>
          </w:tcPr>
          <w:p w14:paraId="5D68042D" w14:textId="209CFBC6" w:rsidR="007D1911" w:rsidRDefault="0032595B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3.371</w:t>
            </w:r>
          </w:p>
        </w:tc>
        <w:tc>
          <w:tcPr>
            <w:tcW w:w="1116" w:type="dxa"/>
          </w:tcPr>
          <w:p w14:paraId="7A750777" w14:textId="04457887" w:rsidR="007D1911" w:rsidRDefault="0032595B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124.6</w:t>
            </w:r>
          </w:p>
        </w:tc>
        <w:tc>
          <w:tcPr>
            <w:tcW w:w="1224" w:type="dxa"/>
          </w:tcPr>
          <w:p w14:paraId="76AC4741" w14:textId="59D4F9E1" w:rsidR="007D1911" w:rsidRPr="0032595B" w:rsidRDefault="0032595B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259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26B95AD8" w14:textId="77777777" w:rsidTr="00B30541">
        <w:trPr>
          <w:trHeight w:val="881"/>
        </w:trPr>
        <w:tc>
          <w:tcPr>
            <w:tcW w:w="8460" w:type="dxa"/>
            <w:gridSpan w:val="6"/>
            <w:tcBorders>
              <w:top w:val="single" w:sz="4" w:space="0" w:color="auto"/>
            </w:tcBorders>
          </w:tcPr>
          <w:p w14:paraId="0FF4359C" w14:textId="074649B0" w:rsidR="00987BB1" w:rsidRPr="005142F8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Treatment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indicates the parametric term in GAM,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the smooth term for either burned or unburned treatments. </w:t>
            </w:r>
            <w:r w:rsidR="005678AB" w:rsidRPr="0003649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 / edf</w:t>
            </w:r>
            <w:r w:rsidR="005678AB">
              <w:rPr>
                <w:rFonts w:ascii="Times New Roman" w:hAnsi="Times New Roman" w:cs="Times New Roman"/>
                <w:sz w:val="20"/>
                <w:szCs w:val="20"/>
              </w:rPr>
              <w:t xml:space="preserve"> column indicates either </w:t>
            </w:r>
            <w:r w:rsidR="005678AB"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 w:rsidR="005678AB">
              <w:rPr>
                <w:rFonts w:ascii="Times New Roman" w:hAnsi="Times New Roman" w:cs="Times New Roman"/>
                <w:sz w:val="20"/>
                <w:szCs w:val="20"/>
              </w:rPr>
              <w:t xml:space="preserve"> (degrees of freedom) for parametric terms or </w:t>
            </w:r>
            <w:r w:rsidR="005678AB"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r w:rsidR="005678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5678AB">
              <w:rPr>
                <w:rFonts w:ascii="Times New Roman" w:hAnsi="Times New Roman" w:cs="Times New Roman"/>
                <w:sz w:val="20"/>
                <w:szCs w:val="20"/>
              </w:rPr>
              <w:t xml:space="preserve">(effective degrees of freedom) for smoother terms; </w:t>
            </w:r>
            <w:r w:rsidR="005678AB"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r w:rsidR="005678AB">
              <w:rPr>
                <w:rFonts w:ascii="Times New Roman" w:hAnsi="Times New Roman" w:cs="Times New Roman"/>
                <w:sz w:val="20"/>
                <w:szCs w:val="20"/>
              </w:rPr>
              <w:t xml:space="preserve"> = reference degree of freedom, where dashes indicate NA for parametric terms. Significant effects (p&lt;0.05) are in bold.</w:t>
            </w:r>
          </w:p>
        </w:tc>
      </w:tr>
    </w:tbl>
    <w:p w14:paraId="5919BCB1" w14:textId="77777777" w:rsidR="005916E8" w:rsidRDefault="005916E8"/>
    <w:sectPr w:rsidR="005916E8" w:rsidSect="0032595B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06582"/>
    <w:rsid w:val="0002065C"/>
    <w:rsid w:val="00064413"/>
    <w:rsid w:val="000851B8"/>
    <w:rsid w:val="00103B85"/>
    <w:rsid w:val="00170D88"/>
    <w:rsid w:val="001E0357"/>
    <w:rsid w:val="0032595B"/>
    <w:rsid w:val="003849EE"/>
    <w:rsid w:val="00491AC9"/>
    <w:rsid w:val="004B5123"/>
    <w:rsid w:val="005142F8"/>
    <w:rsid w:val="00556196"/>
    <w:rsid w:val="005678AB"/>
    <w:rsid w:val="005916E8"/>
    <w:rsid w:val="00743039"/>
    <w:rsid w:val="007D14F6"/>
    <w:rsid w:val="007D1911"/>
    <w:rsid w:val="0086593F"/>
    <w:rsid w:val="0092303E"/>
    <w:rsid w:val="00987BB1"/>
    <w:rsid w:val="009E5885"/>
    <w:rsid w:val="00B10DB1"/>
    <w:rsid w:val="00B30541"/>
    <w:rsid w:val="00B778FC"/>
    <w:rsid w:val="00C76DB1"/>
    <w:rsid w:val="00CD5B02"/>
    <w:rsid w:val="00D45262"/>
    <w:rsid w:val="00D50EA7"/>
    <w:rsid w:val="00D5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9</cp:revision>
  <dcterms:created xsi:type="dcterms:W3CDTF">2022-10-10T21:44:00Z</dcterms:created>
  <dcterms:modified xsi:type="dcterms:W3CDTF">2023-02-06T18:53:00Z</dcterms:modified>
</cp:coreProperties>
</file>