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F2CA2" w14:textId="77777777" w:rsidR="00A619A2" w:rsidRDefault="00000000">
      <w:pPr>
        <w:pStyle w:val="Heading3"/>
      </w:pPr>
      <w:bookmarkStart w:id="0" w:name="X69ff56c50303287471ef854c54694e30ddb954f"/>
      <w:r>
        <w:rPr>
          <w:b/>
          <w:bCs/>
        </w:rPr>
        <w:t>Explanatory Memo on the Transfer-In Process for Staff Members Joining the ECB Pension Scheme</w:t>
      </w:r>
    </w:p>
    <w:p w14:paraId="76D015B8" w14:textId="226EE71F" w:rsidR="00A619A2" w:rsidRDefault="00A619A2"/>
    <w:p w14:paraId="27DE3000" w14:textId="77777777" w:rsidR="00A619A2" w:rsidRDefault="00000000">
      <w:pPr>
        <w:pStyle w:val="Heading2"/>
      </w:pPr>
      <w:bookmarkStart w:id="1" w:name="introduction"/>
      <w:bookmarkEnd w:id="0"/>
      <w:r>
        <w:rPr>
          <w:b/>
          <w:bCs/>
        </w:rPr>
        <w:t>1. Introduction</w:t>
      </w:r>
    </w:p>
    <w:p w14:paraId="11E44918" w14:textId="77777777" w:rsidR="00A619A2" w:rsidRDefault="00000000">
      <w:pPr>
        <w:pStyle w:val="FirstParagraph"/>
      </w:pPr>
      <w:r>
        <w:t xml:space="preserve">Staff members joining the </w:t>
      </w:r>
      <w:r>
        <w:rPr>
          <w:b/>
          <w:bCs/>
        </w:rPr>
        <w:t>European Central Bank (ECB)</w:t>
      </w:r>
      <w:r>
        <w:t xml:space="preserve"> may have the option to transfer pension rights accrued in a previous pension scheme into the </w:t>
      </w:r>
      <w:r>
        <w:rPr>
          <w:b/>
          <w:bCs/>
        </w:rPr>
        <w:t>ECB Pension Scheme</w:t>
      </w:r>
      <w:r>
        <w:t xml:space="preserve">. This process enables staff to consolidate their pension entitlements within the ECB’s </w:t>
      </w:r>
      <w:r>
        <w:rPr>
          <w:b/>
          <w:bCs/>
        </w:rPr>
        <w:t>Defined Benefit Scheme (DBS)</w:t>
      </w:r>
      <w:r>
        <w:t>, ensuring continuity in retirement benefits.</w:t>
      </w:r>
    </w:p>
    <w:p w14:paraId="7DD4D011" w14:textId="77777777" w:rsidR="00A619A2" w:rsidRDefault="00000000">
      <w:pPr>
        <w:pStyle w:val="BodyText"/>
      </w:pPr>
      <w:r>
        <w:t xml:space="preserve">The ECB ensures </w:t>
      </w:r>
      <w:r>
        <w:rPr>
          <w:b/>
          <w:bCs/>
        </w:rPr>
        <w:t>actuarial fairness</w:t>
      </w:r>
      <w:r>
        <w:t xml:space="preserve"> when converting transferred pension rights into pensionable service credits. The calculations involved are based on factors such as </w:t>
      </w:r>
      <w:r>
        <w:rPr>
          <w:b/>
          <w:bCs/>
        </w:rPr>
        <w:t>discount rates, salary progression, mortality rates, and investment returns</w:t>
      </w:r>
      <w:r>
        <w:t>.</w:t>
      </w:r>
    </w:p>
    <w:p w14:paraId="683F1EC6" w14:textId="77777777" w:rsidR="00A619A2" w:rsidRDefault="00000000">
      <w:pPr>
        <w:pStyle w:val="BodyText"/>
      </w:pPr>
      <w:r>
        <w:t xml:space="preserve">This document explains the transfer-in process, key calculations, the concept of </w:t>
      </w:r>
      <w:r>
        <w:rPr>
          <w:b/>
          <w:bCs/>
        </w:rPr>
        <w:t>Pension Conversion Factors (PCF)</w:t>
      </w:r>
      <w:r>
        <w:t>, the effects of actuarial discount rates, and how spouse benefits are incorporated into the calculations.</w:t>
      </w:r>
    </w:p>
    <w:p w14:paraId="588C82D8" w14:textId="13A5441D" w:rsidR="00A619A2" w:rsidRDefault="00A619A2"/>
    <w:p w14:paraId="21848E68" w14:textId="77777777" w:rsidR="00A619A2" w:rsidRDefault="00000000">
      <w:pPr>
        <w:pStyle w:val="Heading2"/>
      </w:pPr>
      <w:bookmarkStart w:id="2" w:name="X160d32bda6590eb7211c343700b67acbc02d2f7"/>
      <w:bookmarkEnd w:id="1"/>
      <w:r>
        <w:rPr>
          <w:b/>
          <w:bCs/>
        </w:rPr>
        <w:t>2. Key Principles of the ECB Pension Transfer-In Process</w:t>
      </w:r>
    </w:p>
    <w:p w14:paraId="755801DF" w14:textId="77777777" w:rsidR="00A619A2" w:rsidRDefault="00000000">
      <w:pPr>
        <w:pStyle w:val="Compact"/>
        <w:numPr>
          <w:ilvl w:val="0"/>
          <w:numId w:val="168"/>
        </w:numPr>
      </w:pPr>
      <w:r>
        <w:t xml:space="preserve">The transferred pension amount is converted into </w:t>
      </w:r>
      <w:r>
        <w:rPr>
          <w:b/>
          <w:bCs/>
        </w:rPr>
        <w:t>pensionable service credit</w:t>
      </w:r>
      <w:r>
        <w:t>, increasing the staff member’s future pension entitlement.</w:t>
      </w:r>
    </w:p>
    <w:p w14:paraId="4C4CBCE6" w14:textId="77777777" w:rsidR="00A619A2" w:rsidRDefault="00000000">
      <w:pPr>
        <w:pStyle w:val="Compact"/>
        <w:numPr>
          <w:ilvl w:val="0"/>
          <w:numId w:val="168"/>
        </w:numPr>
      </w:pPr>
      <w:r>
        <w:t xml:space="preserve">The process is </w:t>
      </w:r>
      <w:r>
        <w:rPr>
          <w:b/>
          <w:bCs/>
        </w:rPr>
        <w:t>voluntary</w:t>
      </w:r>
      <w:r>
        <w:t>, meaning that staff members can evaluate whether a transfer is beneficial.</w:t>
      </w:r>
    </w:p>
    <w:p w14:paraId="36F7AB2E" w14:textId="77777777" w:rsidR="00A619A2" w:rsidRDefault="00000000">
      <w:pPr>
        <w:pStyle w:val="Compact"/>
        <w:numPr>
          <w:ilvl w:val="0"/>
          <w:numId w:val="168"/>
        </w:numPr>
      </w:pPr>
      <w:r>
        <w:t xml:space="preserve">The conversion is based on </w:t>
      </w:r>
      <w:r>
        <w:rPr>
          <w:b/>
          <w:bCs/>
        </w:rPr>
        <w:t>actuarial equivalence</w:t>
      </w:r>
      <w:r>
        <w:t>, ensuring fairness between the transferred pension rights and the pension entitlements granted by the ECB.</w:t>
      </w:r>
    </w:p>
    <w:p w14:paraId="566EE591" w14:textId="77777777" w:rsidR="00A619A2" w:rsidRDefault="00000000">
      <w:pPr>
        <w:pStyle w:val="Compact"/>
        <w:numPr>
          <w:ilvl w:val="0"/>
          <w:numId w:val="168"/>
        </w:numPr>
      </w:pPr>
      <w:r>
        <w:t xml:space="preserve">The ECB pension scheme uses </w:t>
      </w:r>
      <w:r>
        <w:rPr>
          <w:b/>
          <w:bCs/>
        </w:rPr>
        <w:t>actuarial factors</w:t>
      </w:r>
      <w:r>
        <w:t xml:space="preserve"> that are proposed by the </w:t>
      </w:r>
      <w:r>
        <w:rPr>
          <w:b/>
          <w:bCs/>
        </w:rPr>
        <w:t>Scheme Actuary</w:t>
      </w:r>
      <w:r>
        <w:t xml:space="preserve"> and approved by the </w:t>
      </w:r>
      <w:r>
        <w:rPr>
          <w:b/>
          <w:bCs/>
        </w:rPr>
        <w:t>Pensions Administrator</w:t>
      </w:r>
      <w:r>
        <w:t>.</w:t>
      </w:r>
    </w:p>
    <w:p w14:paraId="7769CE0E" w14:textId="77777777" w:rsidR="00A619A2" w:rsidRDefault="00000000">
      <w:pPr>
        <w:pStyle w:val="Compact"/>
        <w:numPr>
          <w:ilvl w:val="0"/>
          <w:numId w:val="168"/>
        </w:numPr>
      </w:pPr>
      <w:r>
        <w:t>Spousal benefits are included in pension calculations, reflecting the probability of marriage at retirement and survivor benefits.</w:t>
      </w:r>
    </w:p>
    <w:p w14:paraId="3112DBE2" w14:textId="4632DAAF" w:rsidR="00A619A2" w:rsidRDefault="00A619A2"/>
    <w:p w14:paraId="3B8A3D0D" w14:textId="77777777" w:rsidR="00A619A2" w:rsidRDefault="00000000">
      <w:pPr>
        <w:pStyle w:val="Heading2"/>
      </w:pPr>
      <w:bookmarkStart w:id="3" w:name="membership-eligibility-contributions"/>
      <w:bookmarkEnd w:id="2"/>
      <w:r>
        <w:rPr>
          <w:b/>
          <w:bCs/>
        </w:rPr>
        <w:t>3. Membership Eligibility &amp; Contributions</w:t>
      </w:r>
    </w:p>
    <w:p w14:paraId="4154EE4B" w14:textId="77777777" w:rsidR="00A619A2" w:rsidRDefault="00000000">
      <w:pPr>
        <w:pStyle w:val="Heading3"/>
      </w:pPr>
      <w:bookmarkStart w:id="4" w:name="eligibility-for-pension-transfer-in"/>
      <w:r>
        <w:rPr>
          <w:b/>
          <w:bCs/>
        </w:rPr>
        <w:t>3.1 Eligibility for Pension Transfer-In</w:t>
      </w:r>
    </w:p>
    <w:p w14:paraId="72469387" w14:textId="77777777" w:rsidR="00A619A2" w:rsidRDefault="00000000">
      <w:pPr>
        <w:pStyle w:val="FirstParagraph"/>
      </w:pPr>
      <w:r>
        <w:t xml:space="preserve">According to </w:t>
      </w:r>
      <w:r>
        <w:rPr>
          <w:b/>
          <w:bCs/>
        </w:rPr>
        <w:t>Article 8(a) of the ECB Pension Scheme Rules</w:t>
      </w:r>
      <w:r>
        <w:t>:</w:t>
      </w:r>
    </w:p>
    <w:p w14:paraId="18968B8B" w14:textId="77777777" w:rsidR="00A619A2" w:rsidRDefault="00000000">
      <w:pPr>
        <w:pStyle w:val="BlockText"/>
      </w:pPr>
      <w:r>
        <w:rPr>
          <w:i/>
          <w:iCs/>
        </w:rPr>
        <w:t>"The ECB shall enter into agreements or make appropriate arrangements with such other employee benefit arrangements, organisations and governments as it determines to accept the transfer to the Scheme of amounts of cash in respect of members of staff who have completed their probationary period with the ECB."</w:t>
      </w:r>
    </w:p>
    <w:p w14:paraId="627423BE" w14:textId="77777777" w:rsidR="00A619A2" w:rsidRDefault="00000000">
      <w:pPr>
        <w:pStyle w:val="FirstParagraph"/>
      </w:pPr>
      <w:r>
        <w:lastRenderedPageBreak/>
        <w:t xml:space="preserve">This means that </w:t>
      </w:r>
      <w:r>
        <w:rPr>
          <w:b/>
          <w:bCs/>
        </w:rPr>
        <w:t>only staff members who have completed their probationary period</w:t>
      </w:r>
      <w:r>
        <w:t xml:space="preserve"> at the ECB are eligible to transfer their pension rights.</w:t>
      </w:r>
    </w:p>
    <w:p w14:paraId="1C8C1E78" w14:textId="77777777" w:rsidR="00A619A2" w:rsidRDefault="00000000">
      <w:pPr>
        <w:pStyle w:val="Heading3"/>
      </w:pPr>
      <w:bookmarkStart w:id="5" w:name="membership-in-the-ecb-pension-scheme"/>
      <w:bookmarkEnd w:id="4"/>
      <w:r>
        <w:rPr>
          <w:b/>
          <w:bCs/>
        </w:rPr>
        <w:t>3.2 Membership in the ECB Pension Scheme</w:t>
      </w:r>
    </w:p>
    <w:p w14:paraId="4679B164" w14:textId="77777777" w:rsidR="00A619A2" w:rsidRDefault="00000000">
      <w:pPr>
        <w:pStyle w:val="FirstParagraph"/>
      </w:pPr>
      <w:r>
        <w:t xml:space="preserve">Upon joining the ECB, all staff members automatically become members of the </w:t>
      </w:r>
      <w:r>
        <w:rPr>
          <w:b/>
          <w:bCs/>
        </w:rPr>
        <w:t>Defined Benefit Scheme (DBS)</w:t>
      </w:r>
      <w:r>
        <w:t xml:space="preserve">, as stated in </w:t>
      </w:r>
      <w:r>
        <w:rPr>
          <w:b/>
          <w:bCs/>
        </w:rPr>
        <w:t>Article 2(a)</w:t>
      </w:r>
      <w:r>
        <w:t>:</w:t>
      </w:r>
    </w:p>
    <w:p w14:paraId="45973453" w14:textId="77777777" w:rsidR="00A619A2" w:rsidRDefault="00000000">
      <w:pPr>
        <w:pStyle w:val="BlockText"/>
      </w:pPr>
      <w:r>
        <w:rPr>
          <w:i/>
          <w:iCs/>
        </w:rPr>
        <w:t>"On taking up employment with the ECB, a member of staff shall join the defined benefit scheme."</w:t>
      </w:r>
    </w:p>
    <w:p w14:paraId="54BF3CAD" w14:textId="77777777" w:rsidR="00A619A2" w:rsidRDefault="00000000">
      <w:pPr>
        <w:pStyle w:val="FirstParagraph"/>
      </w:pPr>
      <w:r>
        <w:t xml:space="preserve">Additionally, </w:t>
      </w:r>
      <w:r>
        <w:rPr>
          <w:b/>
          <w:bCs/>
        </w:rPr>
        <w:t>Article 8(b)</w:t>
      </w:r>
      <w:r>
        <w:t xml:space="preserve"> states:</w:t>
      </w:r>
    </w:p>
    <w:p w14:paraId="4787A199" w14:textId="77777777" w:rsidR="00A619A2" w:rsidRDefault="00000000">
      <w:pPr>
        <w:pStyle w:val="BlockText"/>
      </w:pPr>
      <w:r>
        <w:rPr>
          <w:i/>
          <w:iCs/>
        </w:rPr>
        <w:t>"The amounts transferred in shall be allocated to the defined benefit scheme and the member of staff shall be credited pensionable service in accordance with actuarial advice."</w:t>
      </w:r>
    </w:p>
    <w:p w14:paraId="394F41E0" w14:textId="77777777" w:rsidR="00A619A2" w:rsidRDefault="00000000">
      <w:pPr>
        <w:pStyle w:val="FirstParagraph"/>
      </w:pPr>
      <w:r>
        <w:t xml:space="preserve">Thus, transferred funds are used to determine </w:t>
      </w:r>
      <w:r>
        <w:rPr>
          <w:b/>
          <w:bCs/>
        </w:rPr>
        <w:t>an equivalent service credit</w:t>
      </w:r>
      <w:r>
        <w:t xml:space="preserve"> based on actuarial calculations.</w:t>
      </w:r>
    </w:p>
    <w:p w14:paraId="309EF94E" w14:textId="27FC56B9" w:rsidR="00A619A2" w:rsidRDefault="00A619A2"/>
    <w:p w14:paraId="5DCEF163" w14:textId="77777777" w:rsidR="00A619A2" w:rsidRDefault="00000000">
      <w:pPr>
        <w:pStyle w:val="Heading2"/>
      </w:pPr>
      <w:bookmarkStart w:id="6" w:name="Xf64a8ef68c2c7927c8550dad04401f874fc0bce"/>
      <w:bookmarkEnd w:id="3"/>
      <w:bookmarkEnd w:id="5"/>
      <w:r>
        <w:rPr>
          <w:b/>
          <w:bCs/>
        </w:rPr>
        <w:t>4. Calculation of the Transfer-In Factor and Credited Pensionable Service</w:t>
      </w:r>
    </w:p>
    <w:p w14:paraId="670F4AD0" w14:textId="77777777" w:rsidR="00A619A2" w:rsidRDefault="00000000">
      <w:pPr>
        <w:pStyle w:val="FirstParagraph"/>
      </w:pPr>
      <w:r>
        <w:t xml:space="preserve">The </w:t>
      </w:r>
      <w:r>
        <w:rPr>
          <w:b/>
          <w:bCs/>
        </w:rPr>
        <w:t>pensionable service credit</w:t>
      </w:r>
      <w:r>
        <w:t xml:space="preserve"> granted by the ECB is determined by the following formula:</w:t>
      </w:r>
    </w:p>
    <w:p w14:paraId="50B60453" w14:textId="77777777" w:rsidR="00A619A2" w:rsidRDefault="00000000">
      <w:pPr>
        <w:pStyle w:val="BodyText"/>
      </w:pPr>
      <m:oMathPara>
        <m:oMathParaPr>
          <m:jc m:val="center"/>
        </m:oMathParaPr>
        <m:oMath>
          <m:r>
            <m:rPr>
              <m:nor/>
            </m:rPr>
            <m:t>Credited Pensionable Service</m:t>
          </m:r>
          <m:r>
            <m:rPr>
              <m:sty m:val="p"/>
            </m:rPr>
            <w:rPr>
              <w:rFonts w:ascii="Cambria Math" w:hAnsi="Cambria Math"/>
            </w:rPr>
            <m:t>=</m:t>
          </m:r>
          <m:f>
            <m:fPr>
              <m:ctrlPr>
                <w:rPr>
                  <w:rFonts w:ascii="Cambria Math" w:hAnsi="Cambria Math"/>
                </w:rPr>
              </m:ctrlPr>
            </m:fPr>
            <m:num>
              <m:r>
                <m:rPr>
                  <m:nor/>
                </m:rPr>
                <m:t>Transfer Value</m:t>
              </m:r>
            </m:num>
            <m:den>
              <m:r>
                <m:rPr>
                  <m:nor/>
                </m:rPr>
                <m:t>Transfer-In Factor</m:t>
              </m:r>
              <m:r>
                <m:rPr>
                  <m:sty m:val="p"/>
                </m:rPr>
                <w:rPr>
                  <w:rFonts w:ascii="Cambria Math" w:hAnsi="Cambria Math"/>
                </w:rPr>
                <m:t>×</m:t>
              </m:r>
              <m:r>
                <m:rPr>
                  <m:nor/>
                </m:rPr>
                <m:t>Projected Revalued Earnings</m:t>
              </m:r>
            </m:den>
          </m:f>
        </m:oMath>
      </m:oMathPara>
    </w:p>
    <w:p w14:paraId="71D0BA2B" w14:textId="77777777" w:rsidR="00A619A2" w:rsidRDefault="00000000">
      <w:pPr>
        <w:pStyle w:val="FirstParagraph"/>
      </w:pPr>
      <w:r>
        <w:t>Where:</w:t>
      </w:r>
    </w:p>
    <w:p w14:paraId="6F82F18A" w14:textId="77777777" w:rsidR="00A619A2" w:rsidRDefault="00000000">
      <w:pPr>
        <w:pStyle w:val="Compact"/>
        <w:numPr>
          <w:ilvl w:val="0"/>
          <w:numId w:val="169"/>
        </w:numPr>
      </w:pPr>
      <w:r>
        <w:rPr>
          <w:b/>
          <w:bCs/>
        </w:rPr>
        <w:t>Transfer Value</w:t>
      </w:r>
      <w:r>
        <w:t>: The total pension amount transferred into the ECB scheme.</w:t>
      </w:r>
    </w:p>
    <w:p w14:paraId="0D7926F5" w14:textId="77777777" w:rsidR="00A619A2" w:rsidRDefault="00000000">
      <w:pPr>
        <w:pStyle w:val="Compact"/>
        <w:numPr>
          <w:ilvl w:val="0"/>
          <w:numId w:val="169"/>
        </w:numPr>
      </w:pPr>
      <w:r>
        <w:rPr>
          <w:b/>
          <w:bCs/>
        </w:rPr>
        <w:t>Transfer-In Factor</w:t>
      </w:r>
      <w:r>
        <w:t>: A conversion factor that adjusts for retirement age, discount rates, expected pension benefits, and spousal provisions.</w:t>
      </w:r>
    </w:p>
    <w:p w14:paraId="7BD8472A" w14:textId="77777777" w:rsidR="00A619A2" w:rsidRDefault="00000000">
      <w:pPr>
        <w:pStyle w:val="Compact"/>
        <w:numPr>
          <w:ilvl w:val="0"/>
          <w:numId w:val="169"/>
        </w:numPr>
      </w:pPr>
      <w:r>
        <w:rPr>
          <w:b/>
          <w:bCs/>
        </w:rPr>
        <w:t>Projected Revalued Earnings</w:t>
      </w:r>
      <w:r>
        <w:t>: The staff member’s estimated final salary at retirement, considering salary progression and inflation.</w:t>
      </w:r>
    </w:p>
    <w:p w14:paraId="332EFF02" w14:textId="1697C74F" w:rsidR="00A619A2" w:rsidRDefault="00A619A2"/>
    <w:p w14:paraId="2CF9C72B" w14:textId="77777777" w:rsidR="00A619A2" w:rsidRDefault="00000000">
      <w:pPr>
        <w:pStyle w:val="Heading2"/>
      </w:pPr>
      <w:bookmarkStart w:id="7" w:name="calculation-of-the-transfer-in-factor"/>
      <w:bookmarkEnd w:id="6"/>
      <w:r>
        <w:rPr>
          <w:b/>
          <w:bCs/>
        </w:rPr>
        <w:t>5. Calculation of the Transfer-In Factor</w:t>
      </w:r>
    </w:p>
    <w:p w14:paraId="055A957D" w14:textId="77777777" w:rsidR="00A619A2" w:rsidRDefault="00000000">
      <w:pPr>
        <w:pStyle w:val="FirstParagraph"/>
      </w:pPr>
      <w:r>
        <w:t xml:space="preserve">The </w:t>
      </w:r>
      <w:r>
        <w:rPr>
          <w:b/>
          <w:bCs/>
        </w:rPr>
        <w:t>Transfer-In Factor (TIF)</w:t>
      </w:r>
      <w:r>
        <w:t xml:space="preserve"> ensures that the transferred pension value is converted into an equivalent pensionable service period under the ECB scheme. It is based on the </w:t>
      </w:r>
      <w:r>
        <w:rPr>
          <w:b/>
          <w:bCs/>
        </w:rPr>
        <w:t>Pension Conversion Factor (PCF)</w:t>
      </w:r>
      <w:r>
        <w:t xml:space="preserve"> and the actuarial discount rate assumptions.</w:t>
      </w:r>
    </w:p>
    <w:p w14:paraId="7F25A037" w14:textId="77777777" w:rsidR="00A619A2" w:rsidRDefault="00000000">
      <w:pPr>
        <w:pStyle w:val="BodyText"/>
      </w:pPr>
      <w:r>
        <w:t xml:space="preserve">The formula for the </w:t>
      </w:r>
      <w:r>
        <w:rPr>
          <w:b/>
          <w:bCs/>
        </w:rPr>
        <w:t>Transfer-In Factor</w:t>
      </w:r>
      <w:r>
        <w:t xml:space="preserve"> is:</w:t>
      </w:r>
    </w:p>
    <w:p w14:paraId="61806CF1" w14:textId="77777777" w:rsidR="00A619A2" w:rsidRDefault="00000000">
      <w:pPr>
        <w:pStyle w:val="BodyText"/>
      </w:pPr>
      <m:oMathPara>
        <m:oMathParaPr>
          <m:jc m:val="center"/>
        </m:oMathParaPr>
        <m:oMath>
          <m:r>
            <m:rPr>
              <m:nor/>
            </m:rPr>
            <m:t>TIF</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m:rPr>
                          <m:nor/>
                        </m:rPr>
                        <m:t>pre-retirement</m:t>
                      </m:r>
                    </m:sub>
                  </m:sSub>
                </m:e>
              </m:d>
            </m:e>
            <m:sup>
              <m:r>
                <m:rPr>
                  <m:sty m:val="p"/>
                </m:rPr>
                <w:rPr>
                  <w:rFonts w:ascii="Cambria Math" w:hAnsi="Cambria Math"/>
                </w:rPr>
                <m:t>-</m:t>
              </m:r>
              <m:r>
                <m:rPr>
                  <m:nor/>
                </m:rPr>
                <m:t>(years to 65)</m:t>
              </m:r>
            </m:sup>
          </m:sSup>
          <m:r>
            <m:rPr>
              <m:sty m:val="p"/>
            </m:rPr>
            <w:rPr>
              <w:rFonts w:ascii="Cambria Math" w:hAnsi="Cambria Math"/>
            </w:rPr>
            <m:t>×</m:t>
          </m:r>
          <m:sSub>
            <m:sSubPr>
              <m:ctrlPr>
                <w:rPr>
                  <w:rFonts w:ascii="Cambria Math" w:hAnsi="Cambria Math"/>
                </w:rPr>
              </m:ctrlPr>
            </m:sSubPr>
            <m:e>
              <m:r>
                <m:rPr>
                  <m:nor/>
                </m:rPr>
                <m:t>PCF</m:t>
              </m:r>
            </m:e>
            <m:sub>
              <m:r>
                <w:rPr>
                  <w:rFonts w:ascii="Cambria Math" w:hAnsi="Cambria Math"/>
                </w:rPr>
                <m:t>65</m:t>
              </m:r>
            </m:sub>
          </m:sSub>
          <m:r>
            <m:rPr>
              <m:sty m:val="p"/>
            </m:rPr>
            <w:rPr>
              <w:rFonts w:ascii="Cambria Math" w:hAnsi="Cambria Math"/>
            </w:rPr>
            <m:t>×</m:t>
          </m:r>
          <m:r>
            <w:rPr>
              <w:rFonts w:ascii="Cambria Math" w:hAnsi="Cambria Math"/>
            </w:rPr>
            <m:t>2</m:t>
          </m:r>
          <m:r>
            <m:rPr>
              <m:sty m:val="p"/>
            </m:rPr>
            <w:rPr>
              <w:rFonts w:ascii="Cambria Math" w:hAnsi="Cambria Math"/>
            </w:rPr>
            <m:t>%</m:t>
          </m:r>
        </m:oMath>
      </m:oMathPara>
    </w:p>
    <w:p w14:paraId="16E04946" w14:textId="77777777" w:rsidR="00A619A2" w:rsidRDefault="00000000">
      <w:pPr>
        <w:pStyle w:val="FirstParagraph"/>
      </w:pPr>
      <w:r>
        <w:t>Where:</w:t>
      </w:r>
    </w:p>
    <w:p w14:paraId="3567AF3D" w14:textId="77777777" w:rsidR="00A619A2" w:rsidRDefault="00000000">
      <w:pPr>
        <w:pStyle w:val="Compact"/>
        <w:numPr>
          <w:ilvl w:val="0"/>
          <w:numId w:val="170"/>
        </w:numPr>
      </w:pPr>
      <m:oMath>
        <m:sSub>
          <m:sSubPr>
            <m:ctrlPr>
              <w:rPr>
                <w:rFonts w:ascii="Cambria Math" w:hAnsi="Cambria Math"/>
              </w:rPr>
            </m:ctrlPr>
          </m:sSubPr>
          <m:e>
            <m:r>
              <w:rPr>
                <w:rFonts w:ascii="Cambria Math" w:hAnsi="Cambria Math"/>
              </w:rPr>
              <m:t>r</m:t>
            </m:r>
          </m:e>
          <m:sub>
            <m:r>
              <m:rPr>
                <m:nor/>
              </m:rPr>
              <m:t>pre-retirement</m:t>
            </m:r>
          </m:sub>
        </m:sSub>
      </m:oMath>
      <w:r>
        <w:t xml:space="preserve"> = </w:t>
      </w:r>
      <w:r>
        <w:rPr>
          <w:b/>
          <w:bCs/>
        </w:rPr>
        <w:t>Pre-Retirement Discount Rate</w:t>
      </w:r>
      <w:r>
        <w:t>, determined by the ECB actuary and reflecting the expected return on pension investments.</w:t>
      </w:r>
    </w:p>
    <w:p w14:paraId="65BA8276" w14:textId="77777777" w:rsidR="00A619A2" w:rsidRDefault="00000000">
      <w:pPr>
        <w:pStyle w:val="Compact"/>
        <w:numPr>
          <w:ilvl w:val="0"/>
          <w:numId w:val="170"/>
        </w:numPr>
      </w:pPr>
      <m:oMath>
        <m:sSub>
          <m:sSubPr>
            <m:ctrlPr>
              <w:rPr>
                <w:rFonts w:ascii="Cambria Math" w:hAnsi="Cambria Math"/>
              </w:rPr>
            </m:ctrlPr>
          </m:sSubPr>
          <m:e>
            <m:r>
              <m:rPr>
                <m:nor/>
              </m:rPr>
              <m:t>PCF</m:t>
            </m:r>
          </m:e>
          <m:sub>
            <m:r>
              <w:rPr>
                <w:rFonts w:ascii="Cambria Math" w:hAnsi="Cambria Math"/>
              </w:rPr>
              <m:t>65</m:t>
            </m:r>
          </m:sub>
        </m:sSub>
      </m:oMath>
      <w:r>
        <w:t xml:space="preserve"> = </w:t>
      </w:r>
      <w:r>
        <w:rPr>
          <w:b/>
          <w:bCs/>
        </w:rPr>
        <w:t>Pension Conversion Factor at age 65</w:t>
      </w:r>
      <w:r>
        <w:t>, reflecting the present value of an actuarial annuity.</w:t>
      </w:r>
    </w:p>
    <w:p w14:paraId="3F2BD7C3" w14:textId="77777777" w:rsidR="00A619A2" w:rsidRDefault="00000000">
      <w:pPr>
        <w:pStyle w:val="Compact"/>
        <w:numPr>
          <w:ilvl w:val="0"/>
          <w:numId w:val="170"/>
        </w:numPr>
      </w:pPr>
      <w:r>
        <w:rPr>
          <w:b/>
          <w:bCs/>
        </w:rPr>
        <w:t>2%</w:t>
      </w:r>
      <w:r>
        <w:t xml:space="preserve"> = The </w:t>
      </w:r>
      <w:r>
        <w:rPr>
          <w:b/>
          <w:bCs/>
        </w:rPr>
        <w:t>annual pension accrual rate</w:t>
      </w:r>
      <w:r>
        <w:t xml:space="preserve"> under the ECB’s Defined Benefit Scheme.</w:t>
      </w:r>
    </w:p>
    <w:p w14:paraId="10012717" w14:textId="77777777" w:rsidR="00A619A2" w:rsidRDefault="00000000">
      <w:pPr>
        <w:pStyle w:val="FirstParagraph"/>
      </w:pPr>
      <w:r>
        <w:t xml:space="preserve">The </w:t>
      </w:r>
      <w:r>
        <w:rPr>
          <w:b/>
          <w:bCs/>
        </w:rPr>
        <w:t>PCF</w:t>
      </w:r>
      <w:r>
        <w:t xml:space="preserve"> is a key actuarial value used to convert a pension amount into a lifetime annuity, adjusted for both the staff member’s and the spouse’s life expectancy.</w:t>
      </w:r>
    </w:p>
    <w:p w14:paraId="17454944" w14:textId="57C5DBD8" w:rsidR="00A619A2" w:rsidRDefault="00A619A2"/>
    <w:p w14:paraId="58187A1D" w14:textId="77777777" w:rsidR="00A619A2" w:rsidRDefault="00000000">
      <w:pPr>
        <w:pStyle w:val="Heading2"/>
      </w:pPr>
      <w:bookmarkStart w:id="8" w:name="X58aa4ec0a33633bcf182ad08bf488a4eaea038d"/>
      <w:bookmarkEnd w:id="7"/>
      <w:r>
        <w:rPr>
          <w:b/>
          <w:bCs/>
        </w:rPr>
        <w:t>6. Calculation of the Pension Conversion Factor (PCF) with Spousal Benefits</w:t>
      </w:r>
    </w:p>
    <w:p w14:paraId="3E117E28" w14:textId="76CA9C47" w:rsidR="00A619A2" w:rsidRDefault="00000000">
      <w:pPr>
        <w:pStyle w:val="Heading3"/>
      </w:pPr>
      <w:bookmarkStart w:id="9" w:name="pcf-for-single-life-annuity"/>
      <w:r>
        <w:rPr>
          <w:b/>
          <w:bCs/>
        </w:rPr>
        <w:t>6.1 PCF for Single Life Annuity</w:t>
      </w:r>
      <w:r w:rsidR="00241D4A">
        <w:rPr>
          <w:rStyle w:val="FootnoteReference"/>
          <w:b/>
          <w:bCs/>
        </w:rPr>
        <w:footnoteReference w:id="1"/>
      </w:r>
    </w:p>
    <w:p w14:paraId="40219348" w14:textId="77777777" w:rsidR="00A619A2" w:rsidRDefault="00000000">
      <w:pPr>
        <w:pStyle w:val="FirstParagraph"/>
      </w:pPr>
      <w:r>
        <w:t xml:space="preserve">For an individual retiring at age 65, the </w:t>
      </w:r>
      <w:r>
        <w:rPr>
          <w:b/>
          <w:bCs/>
        </w:rPr>
        <w:t>Pension Conversion Factor (PCF)</w:t>
      </w:r>
      <w:r>
        <w:t xml:space="preserve"> is calculated as follows:</w:t>
      </w:r>
    </w:p>
    <w:p w14:paraId="631C0752" w14:textId="77777777" w:rsidR="00A619A2" w:rsidRDefault="00000000">
      <w:pPr>
        <w:pStyle w:val="BodyText"/>
      </w:pPr>
      <m:oMathPara>
        <m:oMathParaPr>
          <m:jc m:val="center"/>
        </m:oMathParaPr>
        <m:oMath>
          <m:r>
            <w:rPr>
              <w:rFonts w:ascii="Cambria Math" w:hAnsi="Cambria Math"/>
            </w:rPr>
            <m:t>PC</m:t>
          </m:r>
          <m:sSub>
            <m:sSubPr>
              <m:ctrlPr>
                <w:rPr>
                  <w:rFonts w:ascii="Cambria Math" w:hAnsi="Cambria Math"/>
                </w:rPr>
              </m:ctrlPr>
            </m:sSubPr>
            <m:e>
              <m:r>
                <w:rPr>
                  <w:rFonts w:ascii="Cambria Math" w:hAnsi="Cambria Math"/>
                </w:rPr>
                <m:t>F</m:t>
              </m:r>
            </m:e>
            <m:sub>
              <m:r>
                <w:rPr>
                  <w:rFonts w:ascii="Cambria Math" w:hAnsi="Cambria Math"/>
                </w:rPr>
                <m:t>65</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v</m:t>
                  </m:r>
                </m:e>
                <m:sup>
                  <m:r>
                    <w:rPr>
                      <w:rFonts w:ascii="Cambria Math" w:hAnsi="Cambria Math"/>
                    </w:rPr>
                    <m:t>t</m:t>
                  </m:r>
                </m:sup>
              </m:sSup>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65</m:t>
              </m:r>
              <m:r>
                <m:rPr>
                  <m:sty m:val="p"/>
                </m:rPr>
                <w:rPr>
                  <w:rFonts w:ascii="Cambria Math" w:hAnsi="Cambria Math"/>
                </w:rPr>
                <m:t>+</m:t>
              </m:r>
              <m:r>
                <w:rPr>
                  <w:rFonts w:ascii="Cambria Math" w:hAnsi="Cambria Math"/>
                </w:rPr>
                <m:t>t</m:t>
              </m:r>
            </m:sub>
          </m:sSub>
        </m:oMath>
      </m:oMathPara>
    </w:p>
    <w:p w14:paraId="4551D0A5" w14:textId="77777777" w:rsidR="00A619A2" w:rsidRDefault="00000000">
      <w:pPr>
        <w:pStyle w:val="FirstParagraph"/>
      </w:pPr>
      <w:r>
        <w:t>Where:</w:t>
      </w:r>
    </w:p>
    <w:p w14:paraId="6EBE2D72" w14:textId="77777777" w:rsidR="00A619A2" w:rsidRDefault="00000000">
      <w:pPr>
        <w:pStyle w:val="Compact"/>
        <w:numPr>
          <w:ilvl w:val="0"/>
          <w:numId w:val="171"/>
        </w:numPr>
      </w:pPr>
      <m:oMath>
        <m:r>
          <w:rPr>
            <w:rFonts w:ascii="Cambria Math" w:hAnsi="Cambria Math"/>
          </w:rPr>
          <m:t>v</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w:rPr>
                <w:rFonts w:ascii="Cambria Math" w:hAnsi="Cambria Math"/>
              </w:rPr>
              <m:t>NBY</m:t>
            </m:r>
          </m:den>
        </m:f>
      </m:oMath>
      <w:r>
        <w:t xml:space="preserve"> = Discount factor.</w:t>
      </w:r>
    </w:p>
    <w:p w14:paraId="10E250A6" w14:textId="77777777" w:rsidR="00A619A2" w:rsidRDefault="00000000">
      <w:pPr>
        <w:pStyle w:val="Compact"/>
        <w:numPr>
          <w:ilvl w:val="0"/>
          <w:numId w:val="171"/>
        </w:numPr>
      </w:pPr>
      <m:oMath>
        <m:sSub>
          <m:sSubPr>
            <m:ctrlPr>
              <w:rPr>
                <w:rFonts w:ascii="Cambria Math" w:hAnsi="Cambria Math"/>
              </w:rPr>
            </m:ctrlPr>
          </m:sSubPr>
          <m:e>
            <m:r>
              <w:rPr>
                <w:rFonts w:ascii="Cambria Math" w:hAnsi="Cambria Math"/>
              </w:rPr>
              <m:t>p</m:t>
            </m:r>
          </m:e>
          <m:sub>
            <m:r>
              <w:rPr>
                <w:rFonts w:ascii="Cambria Math" w:hAnsi="Cambria Math"/>
              </w:rPr>
              <m:t>65</m:t>
            </m:r>
            <m:r>
              <m:rPr>
                <m:sty m:val="p"/>
              </m:rPr>
              <w:rPr>
                <w:rFonts w:ascii="Cambria Math" w:hAnsi="Cambria Math"/>
              </w:rPr>
              <m:t>+</m:t>
            </m:r>
            <m:r>
              <w:rPr>
                <w:rFonts w:ascii="Cambria Math" w:hAnsi="Cambria Math"/>
              </w:rPr>
              <m:t>t</m:t>
            </m:r>
          </m:sub>
        </m:sSub>
      </m:oMath>
      <w:r>
        <w:t xml:space="preserve"> = Probability of surviving to time </w:t>
      </w:r>
      <m:oMath>
        <m:r>
          <w:rPr>
            <w:rFonts w:ascii="Cambria Math" w:hAnsi="Cambria Math"/>
          </w:rPr>
          <m:t>t</m:t>
        </m:r>
      </m:oMath>
      <w:r>
        <w:t>, based on actuarial mortality tables.</w:t>
      </w:r>
    </w:p>
    <w:p w14:paraId="553CA8E0" w14:textId="77777777" w:rsidR="00A619A2" w:rsidRDefault="00000000">
      <w:pPr>
        <w:pStyle w:val="Heading3"/>
      </w:pPr>
      <w:bookmarkStart w:id="10" w:name="pcf-with-spousal-benefits"/>
      <w:bookmarkEnd w:id="9"/>
      <w:r>
        <w:rPr>
          <w:b/>
          <w:bCs/>
        </w:rPr>
        <w:t>6.2 PCF with Spousal Benefits</w:t>
      </w:r>
    </w:p>
    <w:p w14:paraId="13277889" w14:textId="5192D3E6" w:rsidR="00A619A2" w:rsidRDefault="0035631B">
      <w:pPr>
        <w:pStyle w:val="FirstParagraph"/>
      </w:pPr>
      <w:r>
        <w:t xml:space="preserve">Additionally, for staff members assumed to have a </w:t>
      </w:r>
      <w:r>
        <w:rPr>
          <w:b/>
          <w:bCs/>
        </w:rPr>
        <w:t>spouse at retirement</w:t>
      </w:r>
      <w:r w:rsidR="00627FE4">
        <w:rPr>
          <w:b/>
          <w:bCs/>
        </w:rPr>
        <w:t xml:space="preserve"> (via an expected probability)</w:t>
      </w:r>
      <w:r>
        <w:t>, the Total PCF (staff + spouse) must include the conditional probability of:</w:t>
      </w:r>
    </w:p>
    <w:p w14:paraId="6C47ED78" w14:textId="77777777" w:rsidR="00A619A2" w:rsidRDefault="00000000">
      <w:pPr>
        <w:pStyle w:val="Compact"/>
        <w:numPr>
          <w:ilvl w:val="0"/>
          <w:numId w:val="172"/>
        </w:numPr>
      </w:pPr>
      <w:r>
        <w:rPr>
          <w:b/>
          <w:bCs/>
        </w:rPr>
        <w:t>The staff member dying first.</w:t>
      </w:r>
    </w:p>
    <w:p w14:paraId="1E6DFC4C" w14:textId="77777777" w:rsidR="00A619A2" w:rsidRDefault="00000000">
      <w:pPr>
        <w:pStyle w:val="Compact"/>
        <w:numPr>
          <w:ilvl w:val="0"/>
          <w:numId w:val="172"/>
        </w:numPr>
      </w:pPr>
      <w:r>
        <w:rPr>
          <w:b/>
          <w:bCs/>
        </w:rPr>
        <w:t>The spouse surviving.</w:t>
      </w:r>
    </w:p>
    <w:p w14:paraId="7C74B211" w14:textId="77777777" w:rsidR="00A619A2" w:rsidRDefault="00000000">
      <w:pPr>
        <w:pStyle w:val="Compact"/>
        <w:numPr>
          <w:ilvl w:val="0"/>
          <w:numId w:val="172"/>
        </w:numPr>
      </w:pPr>
      <w:r>
        <w:rPr>
          <w:b/>
          <w:bCs/>
        </w:rPr>
        <w:t>A survivor pension being paid (typically 60% of the main pension).</w:t>
      </w:r>
    </w:p>
    <w:p w14:paraId="23E03ACD" w14:textId="77777777" w:rsidR="00A619A2" w:rsidRDefault="00000000">
      <w:pPr>
        <w:pStyle w:val="FirstParagraph"/>
      </w:pPr>
      <w:r>
        <w:t>The adjusted PCF formula is:</w:t>
      </w:r>
    </w:p>
    <w:p w14:paraId="6C3C916D" w14:textId="77777777" w:rsidR="00A619A2" w:rsidRDefault="00000000">
      <w:pPr>
        <w:pStyle w:val="BodyText"/>
      </w:pPr>
      <m:oMathPara>
        <m:oMathParaPr>
          <m:jc m:val="center"/>
        </m:oMathParaPr>
        <m:oMath>
          <m:r>
            <w:rPr>
              <w:rFonts w:ascii="Cambria Math" w:hAnsi="Cambria Math"/>
            </w:rPr>
            <m:t>PC</m:t>
          </m:r>
          <m:sSub>
            <m:sSubPr>
              <m:ctrlPr>
                <w:rPr>
                  <w:rFonts w:ascii="Cambria Math" w:hAnsi="Cambria Math"/>
                </w:rPr>
              </m:ctrlPr>
            </m:sSubPr>
            <m:e>
              <m:r>
                <w:rPr>
                  <w:rFonts w:ascii="Cambria Math" w:hAnsi="Cambria Math"/>
                </w:rPr>
                <m:t>F</m:t>
              </m:r>
            </m:e>
            <m:sub>
              <m:r>
                <w:rPr>
                  <w:rFonts w:ascii="Cambria Math" w:hAnsi="Cambria Math"/>
                </w:rPr>
                <m:t>65</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v</m:t>
                  </m:r>
                </m:e>
                <m:sup>
                  <m:r>
                    <w:rPr>
                      <w:rFonts w:ascii="Cambria Math" w:hAnsi="Cambria Math"/>
                    </w:rPr>
                    <m:t>t</m:t>
                  </m:r>
                </m:sup>
              </m:sSup>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65</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65</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spouse</m:t>
              </m:r>
            </m:sub>
          </m:sSub>
          <m:r>
            <m:rPr>
              <m:sty m:val="p"/>
            </m:rPr>
            <w:rPr>
              <w:rFonts w:ascii="Cambria Math" w:hAnsi="Cambria Math"/>
            </w:rPr>
            <m:t>×</m:t>
          </m:r>
          <m:r>
            <w:rPr>
              <w:rFonts w:ascii="Cambria Math" w:hAnsi="Cambria Math"/>
            </w:rPr>
            <m:t>0.6</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0</m:t>
              </m:r>
            </m:sub>
            <m:sup>
              <m:r>
                <m:rPr>
                  <m:sty m:val="p"/>
                </m:rPr>
                <w:rPr>
                  <w:rFonts w:ascii="Cambria Math" w:hAnsi="Cambria Math"/>
                </w:rPr>
                <m:t>∞</m:t>
              </m:r>
            </m:sup>
            <m:e>
              <m:sSup>
                <m:sSupPr>
                  <m:ctrlPr>
                    <w:rPr>
                      <w:rFonts w:ascii="Cambria Math" w:hAnsi="Cambria Math"/>
                    </w:rPr>
                  </m:ctrlPr>
                </m:sSupPr>
                <m:e>
                  <m:r>
                    <w:rPr>
                      <w:rFonts w:ascii="Cambria Math" w:hAnsi="Cambria Math"/>
                    </w:rPr>
                    <m:t>v</m:t>
                  </m:r>
                </m:e>
                <m:sup>
                  <m:r>
                    <w:rPr>
                      <w:rFonts w:ascii="Cambria Math" w:hAnsi="Cambria Math"/>
                    </w:rPr>
                    <m:t>s</m:t>
                  </m:r>
                </m:sup>
              </m:sSup>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spouse</m:t>
              </m:r>
            </m:sub>
          </m:sSub>
        </m:oMath>
      </m:oMathPara>
    </w:p>
    <w:p w14:paraId="6AA40352" w14:textId="77777777" w:rsidR="00A619A2" w:rsidRDefault="00000000">
      <w:pPr>
        <w:pStyle w:val="FirstParagraph"/>
      </w:pPr>
      <w:r>
        <w:lastRenderedPageBreak/>
        <w:t>Where:</w:t>
      </w:r>
    </w:p>
    <w:p w14:paraId="31206364" w14:textId="77777777" w:rsidR="00A619A2" w:rsidRDefault="00000000">
      <w:pPr>
        <w:pStyle w:val="Compact"/>
        <w:numPr>
          <w:ilvl w:val="0"/>
          <w:numId w:val="173"/>
        </w:numPr>
      </w:pPr>
      <m:oMath>
        <m:sSub>
          <m:sSubPr>
            <m:ctrlPr>
              <w:rPr>
                <w:rFonts w:ascii="Cambria Math" w:hAnsi="Cambria Math"/>
              </w:rPr>
            </m:ctrlPr>
          </m:sSubPr>
          <m:e>
            <m:r>
              <w:rPr>
                <w:rFonts w:ascii="Cambria Math" w:hAnsi="Cambria Math"/>
              </w:rPr>
              <m:t>q</m:t>
            </m:r>
          </m:e>
          <m:sub>
            <m:r>
              <w:rPr>
                <w:rFonts w:ascii="Cambria Math" w:hAnsi="Cambria Math"/>
              </w:rPr>
              <m:t>65</m:t>
            </m:r>
            <m:r>
              <m:rPr>
                <m:sty m:val="p"/>
              </m:rPr>
              <w:rPr>
                <w:rFonts w:ascii="Cambria Math" w:hAnsi="Cambria Math"/>
              </w:rPr>
              <m:t>+</m:t>
            </m:r>
            <m:r>
              <w:rPr>
                <w:rFonts w:ascii="Cambria Math" w:hAnsi="Cambria Math"/>
              </w:rPr>
              <m:t>t</m:t>
            </m:r>
          </m:sub>
        </m:sSub>
      </m:oMath>
      <w:r>
        <w:t xml:space="preserve"> = Probability of staff member dying at time </w:t>
      </w:r>
      <m:oMath>
        <m:r>
          <w:rPr>
            <w:rFonts w:ascii="Cambria Math" w:hAnsi="Cambria Math"/>
          </w:rPr>
          <m:t>t</m:t>
        </m:r>
      </m:oMath>
      <w:r>
        <w:t>.</w:t>
      </w:r>
    </w:p>
    <w:p w14:paraId="4291BDCF" w14:textId="77777777" w:rsidR="00A619A2" w:rsidRDefault="00000000">
      <w:pPr>
        <w:pStyle w:val="Compact"/>
        <w:numPr>
          <w:ilvl w:val="0"/>
          <w:numId w:val="173"/>
        </w:numPr>
      </w:pPr>
      <m:oMath>
        <m:sSub>
          <m:sSubPr>
            <m:ctrlPr>
              <w:rPr>
                <w:rFonts w:ascii="Cambria Math" w:hAnsi="Cambria Math"/>
              </w:rPr>
            </m:ctrlPr>
          </m:sSubPr>
          <m:e>
            <m:r>
              <w:rPr>
                <w:rFonts w:ascii="Cambria Math" w:hAnsi="Cambria Math"/>
              </w:rPr>
              <m:t>p</m:t>
            </m:r>
          </m:e>
          <m:sub>
            <m:r>
              <w:rPr>
                <w:rFonts w:ascii="Cambria Math" w:hAnsi="Cambria Math"/>
              </w:rPr>
              <m:t>spouse</m:t>
            </m:r>
          </m:sub>
        </m:sSub>
      </m:oMath>
      <w:r>
        <w:t xml:space="preserve"> = Probability of the spouse surviving at time </w:t>
      </w:r>
      <m:oMath>
        <m:r>
          <w:rPr>
            <w:rFonts w:ascii="Cambria Math" w:hAnsi="Cambria Math"/>
          </w:rPr>
          <m:t>s</m:t>
        </m:r>
      </m:oMath>
      <w:r>
        <w:t>.</w:t>
      </w:r>
    </w:p>
    <w:p w14:paraId="6C2B76CD" w14:textId="77777777" w:rsidR="00A619A2" w:rsidRDefault="00000000">
      <w:pPr>
        <w:pStyle w:val="Compact"/>
        <w:numPr>
          <w:ilvl w:val="0"/>
          <w:numId w:val="173"/>
        </w:numPr>
      </w:pPr>
      <m:oMath>
        <m:r>
          <w:rPr>
            <w:rFonts w:ascii="Cambria Math" w:hAnsi="Cambria Math"/>
          </w:rPr>
          <m:t>0.6</m:t>
        </m:r>
      </m:oMath>
      <w:r>
        <w:t xml:space="preserve"> = </w:t>
      </w:r>
      <w:r>
        <w:rPr>
          <w:b/>
          <w:bCs/>
        </w:rPr>
        <w:t>Survivor pension percentage (60%)</w:t>
      </w:r>
      <w:r>
        <w:t>.</w:t>
      </w:r>
    </w:p>
    <w:p w14:paraId="5A79970C" w14:textId="77777777" w:rsidR="00A619A2" w:rsidRDefault="00000000">
      <w:pPr>
        <w:pStyle w:val="Compact"/>
        <w:numPr>
          <w:ilvl w:val="0"/>
          <w:numId w:val="173"/>
        </w:numPr>
      </w:pPr>
      <m:oMath>
        <m:sSup>
          <m:sSupPr>
            <m:ctrlPr>
              <w:rPr>
                <w:rFonts w:ascii="Cambria Math" w:hAnsi="Cambria Math"/>
              </w:rPr>
            </m:ctrlPr>
          </m:sSupPr>
          <m:e>
            <m:r>
              <w:rPr>
                <w:rFonts w:ascii="Cambria Math" w:hAnsi="Cambria Math"/>
              </w:rPr>
              <m:t>v</m:t>
            </m:r>
          </m:e>
          <m:sup>
            <m:r>
              <w:rPr>
                <w:rFonts w:ascii="Cambria Math" w:hAnsi="Cambria Math"/>
              </w:rPr>
              <m:t>s</m:t>
            </m:r>
          </m:sup>
        </m:sSup>
      </m:oMath>
      <w:r>
        <w:t xml:space="preserve"> = Discount factor for spouse’s pension.</w:t>
      </w:r>
    </w:p>
    <w:p w14:paraId="2B28CDB3" w14:textId="390857BC" w:rsidR="00A619A2" w:rsidRDefault="00A619A2">
      <w:bookmarkStart w:id="11" w:name="X9719b3706b6b10695b698596969b094571c87c4"/>
      <w:bookmarkEnd w:id="10"/>
    </w:p>
    <w:p w14:paraId="57680FFC" w14:textId="77777777" w:rsidR="00A619A2" w:rsidRDefault="00000000">
      <w:pPr>
        <w:pStyle w:val="Heading2"/>
        <w:rPr>
          <w:b/>
          <w:bCs/>
        </w:rPr>
      </w:pPr>
      <w:bookmarkStart w:id="12" w:name="X2b137c04fdf25b30bfe3b2d552c0b1e541523ae"/>
      <w:bookmarkEnd w:id="8"/>
      <w:bookmarkEnd w:id="11"/>
      <w:r>
        <w:rPr>
          <w:b/>
          <w:bCs/>
        </w:rPr>
        <w:t>7. Effects of Changes in Net Bond Yield (NBY) and Pre-Retirement Discount Rates</w:t>
      </w:r>
    </w:p>
    <w:p w14:paraId="06C431FB" w14:textId="55795F6E" w:rsidR="0035631B" w:rsidRPr="0035631B" w:rsidRDefault="0035631B" w:rsidP="0035631B">
      <w:pPr>
        <w:pStyle w:val="BodyText"/>
        <w:rPr>
          <w:rFonts w:eastAsiaTheme="majorEastAsia" w:cstheme="majorBidi"/>
          <w:b/>
          <w:bCs/>
          <w:color w:val="0F4761" w:themeColor="accent1" w:themeShade="BF"/>
          <w:sz w:val="28"/>
          <w:szCs w:val="28"/>
        </w:rPr>
      </w:pPr>
      <w:r w:rsidRPr="0035631B">
        <w:rPr>
          <w:rFonts w:eastAsiaTheme="majorEastAsia" w:cstheme="majorBidi"/>
          <w:b/>
          <w:bCs/>
          <w:color w:val="0F4761" w:themeColor="accent1" w:themeShade="BF"/>
          <w:sz w:val="28"/>
          <w:szCs w:val="28"/>
        </w:rPr>
        <w:t>7.1 Why is the Net Bond Yield (NBY) Used?</w:t>
      </w:r>
    </w:p>
    <w:p w14:paraId="2FBE1F62" w14:textId="2EDEF701" w:rsidR="0035631B" w:rsidRPr="0035631B" w:rsidRDefault="0035631B" w:rsidP="0035631B">
      <w:pPr>
        <w:pStyle w:val="BodyText"/>
      </w:pPr>
      <w:proofErr w:type="gramStart"/>
      <w:r>
        <w:t>For the purpose of</w:t>
      </w:r>
      <w:proofErr w:type="gramEnd"/>
      <w:r>
        <w:t xml:space="preserve"> calculating the PCF, </w:t>
      </w:r>
      <w:r w:rsidRPr="0035631B">
        <w:t>Pension cash flows are projected without considering the</w:t>
      </w:r>
      <w:r>
        <w:t>ir</w:t>
      </w:r>
      <w:r w:rsidRPr="0035631B">
        <w:t xml:space="preserve"> annual revaluation (i.e. the GSA). Instead, the discount rate (NBY) is adjusted to reflect a real rate </w:t>
      </w:r>
      <w:r w:rsidRPr="0035631B">
        <w:rPr>
          <w:b/>
          <w:bCs/>
        </w:rPr>
        <w:t>after removing expected inflation</w:t>
      </w:r>
      <w:r w:rsidRPr="0035631B">
        <w:t>.</w:t>
      </w:r>
    </w:p>
    <w:p w14:paraId="2BC6CB18" w14:textId="77777777" w:rsidR="0035631B" w:rsidRPr="0035631B" w:rsidRDefault="0035631B" w:rsidP="0035631B">
      <w:pPr>
        <w:pStyle w:val="BodyText"/>
      </w:pPr>
      <w:r w:rsidRPr="0035631B">
        <w:t>This means that:</w:t>
      </w:r>
    </w:p>
    <w:p w14:paraId="046A1F0E" w14:textId="1B76DD8E" w:rsidR="0035631B" w:rsidRPr="0035631B" w:rsidRDefault="0035631B" w:rsidP="0035631B">
      <w:pPr>
        <w:pStyle w:val="BodyText"/>
        <w:numPr>
          <w:ilvl w:val="0"/>
          <w:numId w:val="168"/>
        </w:numPr>
      </w:pPr>
      <w:r w:rsidRPr="0035631B">
        <w:t xml:space="preserve">Instead of projecting future pension payments </w:t>
      </w:r>
      <w:r w:rsidRPr="0035631B">
        <w:rPr>
          <w:b/>
          <w:bCs/>
        </w:rPr>
        <w:t>with inflation</w:t>
      </w:r>
      <w:r>
        <w:rPr>
          <w:b/>
          <w:bCs/>
        </w:rPr>
        <w:t>/GSA</w:t>
      </w:r>
      <w:r w:rsidRPr="0035631B">
        <w:rPr>
          <w:b/>
          <w:bCs/>
        </w:rPr>
        <w:t xml:space="preserve"> adjustments</w:t>
      </w:r>
      <w:r w:rsidRPr="0035631B">
        <w:t xml:space="preserve">, the </w:t>
      </w:r>
      <w:r w:rsidRPr="0035631B">
        <w:rPr>
          <w:b/>
          <w:bCs/>
        </w:rPr>
        <w:t>NBY is used net of inflation</w:t>
      </w:r>
      <w:r w:rsidRPr="0035631B">
        <w:t xml:space="preserve"> to discount them back to present value.</w:t>
      </w:r>
    </w:p>
    <w:p w14:paraId="76360C90" w14:textId="77777777" w:rsidR="0035631B" w:rsidRPr="0035631B" w:rsidRDefault="0035631B" w:rsidP="0035631B">
      <w:pPr>
        <w:pStyle w:val="BodyText"/>
        <w:numPr>
          <w:ilvl w:val="0"/>
          <w:numId w:val="168"/>
        </w:numPr>
      </w:pPr>
      <w:r w:rsidRPr="0035631B">
        <w:t xml:space="preserve">This ensures the PCF represents the </w:t>
      </w:r>
      <w:r w:rsidRPr="0035631B">
        <w:rPr>
          <w:b/>
          <w:bCs/>
        </w:rPr>
        <w:t>real value of the annuity</w:t>
      </w:r>
      <w:r w:rsidRPr="0035631B">
        <w:t xml:space="preserve"> in today's terms, making it a fair measure of pension entitlements.</w:t>
      </w:r>
    </w:p>
    <w:p w14:paraId="4E3A2D15" w14:textId="77777777" w:rsidR="00A619A2" w:rsidRDefault="00000000">
      <w:pPr>
        <w:pStyle w:val="Heading3"/>
      </w:pPr>
      <w:bookmarkStart w:id="13" w:name="impact-of-higher-nby"/>
      <w:r>
        <w:rPr>
          <w:b/>
          <w:bCs/>
        </w:rPr>
        <w:t>7.1 Impact of Higher NBY</w:t>
      </w:r>
    </w:p>
    <w:p w14:paraId="28E0661B" w14:textId="77777777" w:rsidR="00A619A2" w:rsidRDefault="00000000">
      <w:pPr>
        <w:pStyle w:val="FirstParagraph"/>
      </w:pPr>
      <w:r>
        <w:t xml:space="preserve">If the </w:t>
      </w:r>
      <w:r>
        <w:rPr>
          <w:b/>
          <w:bCs/>
        </w:rPr>
        <w:t>NBY increases</w:t>
      </w:r>
      <w:r>
        <w:t xml:space="preserve">, the PCF </w:t>
      </w:r>
      <w:r>
        <w:rPr>
          <w:b/>
          <w:bCs/>
        </w:rPr>
        <w:t>decreases</w:t>
      </w:r>
      <w:r>
        <w:t xml:space="preserve"> because the discounting effect on future pension payments is stronger. This means:</w:t>
      </w:r>
    </w:p>
    <w:p w14:paraId="43B9EDBA" w14:textId="4C610DB0" w:rsidR="00A619A2" w:rsidRDefault="00627FE4">
      <w:pPr>
        <w:pStyle w:val="Compact"/>
        <w:numPr>
          <w:ilvl w:val="0"/>
          <w:numId w:val="175"/>
        </w:numPr>
      </w:pPr>
      <w:r>
        <w:rPr>
          <w:b/>
          <w:bCs/>
        </w:rPr>
        <w:t>More pensionable service credit is granted</w:t>
      </w:r>
      <w:r>
        <w:t xml:space="preserve"> for the same transfer amount.</w:t>
      </w:r>
    </w:p>
    <w:p w14:paraId="4EE1E331" w14:textId="4DF99A49" w:rsidR="00A619A2" w:rsidRDefault="00000000">
      <w:pPr>
        <w:pStyle w:val="Compact"/>
        <w:numPr>
          <w:ilvl w:val="0"/>
          <w:numId w:val="175"/>
        </w:numPr>
      </w:pPr>
      <w:r>
        <w:t xml:space="preserve">The present value of annuities decreases, making </w:t>
      </w:r>
      <w:r w:rsidR="00627FE4">
        <w:t xml:space="preserve">the purchase of </w:t>
      </w:r>
      <w:r>
        <w:t>pensions</w:t>
      </w:r>
      <w:r w:rsidR="00627FE4">
        <w:t xml:space="preserve"> rights</w:t>
      </w:r>
      <w:r>
        <w:t xml:space="preserve"> cheaper.</w:t>
      </w:r>
    </w:p>
    <w:p w14:paraId="4AD5BAD9" w14:textId="77777777" w:rsidR="00A619A2" w:rsidRDefault="00000000">
      <w:pPr>
        <w:pStyle w:val="Heading3"/>
      </w:pPr>
      <w:bookmarkStart w:id="14" w:name="impact-of-lower-nby"/>
      <w:bookmarkEnd w:id="13"/>
      <w:r>
        <w:rPr>
          <w:b/>
          <w:bCs/>
        </w:rPr>
        <w:t>7.2 Impact of Lower NBY</w:t>
      </w:r>
    </w:p>
    <w:p w14:paraId="046DEDD4" w14:textId="77777777" w:rsidR="00A619A2" w:rsidRDefault="00000000">
      <w:pPr>
        <w:pStyle w:val="FirstParagraph"/>
      </w:pPr>
      <w:r>
        <w:t xml:space="preserve">If the </w:t>
      </w:r>
      <w:r>
        <w:rPr>
          <w:b/>
          <w:bCs/>
        </w:rPr>
        <w:t>NBY decreases</w:t>
      </w:r>
      <w:r>
        <w:t xml:space="preserve">, the PCF </w:t>
      </w:r>
      <w:r>
        <w:rPr>
          <w:b/>
          <w:bCs/>
        </w:rPr>
        <w:t>increases</w:t>
      </w:r>
      <w:r>
        <w:t>, meaning:</w:t>
      </w:r>
    </w:p>
    <w:p w14:paraId="08498D13" w14:textId="7BED77E1" w:rsidR="00A619A2" w:rsidRDefault="00627FE4">
      <w:pPr>
        <w:pStyle w:val="Compact"/>
        <w:numPr>
          <w:ilvl w:val="0"/>
          <w:numId w:val="176"/>
        </w:numPr>
      </w:pPr>
      <w:r>
        <w:rPr>
          <w:b/>
          <w:bCs/>
        </w:rPr>
        <w:t>Less pensionable service credit is granted</w:t>
      </w:r>
      <w:r>
        <w:t xml:space="preserve"> for the same transfer amount.</w:t>
      </w:r>
    </w:p>
    <w:p w14:paraId="08B5C814" w14:textId="6D8524E5" w:rsidR="00A619A2" w:rsidRDefault="00000000">
      <w:pPr>
        <w:pStyle w:val="Compact"/>
        <w:numPr>
          <w:ilvl w:val="0"/>
          <w:numId w:val="176"/>
        </w:numPr>
      </w:pPr>
      <w:r>
        <w:t xml:space="preserve">The present value of annuities increases, making </w:t>
      </w:r>
      <w:r w:rsidR="00627FE4">
        <w:t xml:space="preserve">the purchase of </w:t>
      </w:r>
      <w:r>
        <w:t xml:space="preserve">pensions </w:t>
      </w:r>
      <w:r w:rsidR="00627FE4">
        <w:t xml:space="preserve">rights </w:t>
      </w:r>
      <w:r>
        <w:t>more expensive.</w:t>
      </w:r>
    </w:p>
    <w:p w14:paraId="40C96741" w14:textId="77777777" w:rsidR="00A619A2" w:rsidRDefault="00000000">
      <w:pPr>
        <w:pStyle w:val="Heading3"/>
      </w:pPr>
      <w:bookmarkStart w:id="15" w:name="X0b71d8bf789f53f9730b0230e162a2d0c150358"/>
      <w:bookmarkEnd w:id="14"/>
      <w:r>
        <w:rPr>
          <w:b/>
          <w:bCs/>
        </w:rPr>
        <w:t>7.3 Pre-Retirement Discount Rate (Impact on Transfer-In Value)</w:t>
      </w:r>
    </w:p>
    <w:p w14:paraId="098B071A" w14:textId="77777777" w:rsidR="00A619A2" w:rsidRDefault="00000000">
      <w:pPr>
        <w:pStyle w:val="FirstParagraph"/>
      </w:pPr>
      <w:r>
        <w:t xml:space="preserve">The </w:t>
      </w:r>
      <w:r>
        <w:rPr>
          <w:b/>
          <w:bCs/>
        </w:rPr>
        <w:t>pre-retirement discount rate</w:t>
      </w:r>
      <w:r>
        <w:t xml:space="preserve"> affects how the transfer-in amount grows until retirement.</w:t>
      </w:r>
    </w:p>
    <w:p w14:paraId="359C25CC" w14:textId="2822F18B" w:rsidR="00A619A2" w:rsidRDefault="00000000">
      <w:pPr>
        <w:pStyle w:val="Compact"/>
        <w:numPr>
          <w:ilvl w:val="0"/>
          <w:numId w:val="177"/>
        </w:numPr>
      </w:pPr>
      <w:r>
        <w:t xml:space="preserve">A </w:t>
      </w:r>
      <w:r>
        <w:rPr>
          <w:b/>
          <w:bCs/>
        </w:rPr>
        <w:t>higher</w:t>
      </w:r>
      <w:r w:rsidR="0037382C">
        <w:rPr>
          <w:b/>
          <w:bCs/>
        </w:rPr>
        <w:t xml:space="preserve"> </w:t>
      </w:r>
      <w:proofErr w:type="spellStart"/>
      <w:proofErr w:type="gramStart"/>
      <w:r w:rsidR="0037382C">
        <w:rPr>
          <w:b/>
          <w:bCs/>
        </w:rPr>
        <w:t>pre retirement</w:t>
      </w:r>
      <w:proofErr w:type="spellEnd"/>
      <w:proofErr w:type="gramEnd"/>
      <w:r>
        <w:rPr>
          <w:b/>
          <w:bCs/>
        </w:rPr>
        <w:t xml:space="preserve"> discount rate</w:t>
      </w:r>
      <w:r>
        <w:t xml:space="preserve"> </w:t>
      </w:r>
      <w:r w:rsidR="0037382C">
        <w:t>increases</w:t>
      </w:r>
      <w:r>
        <w:t xml:space="preserve"> the </w:t>
      </w:r>
      <w:r>
        <w:rPr>
          <w:b/>
          <w:bCs/>
        </w:rPr>
        <w:t>service credit</w:t>
      </w:r>
      <w:r>
        <w:t xml:space="preserve"> received.</w:t>
      </w:r>
    </w:p>
    <w:p w14:paraId="4262C32C" w14:textId="69C20977" w:rsidR="00A619A2" w:rsidRDefault="00000000" w:rsidP="0037382C">
      <w:pPr>
        <w:pStyle w:val="Compact"/>
        <w:ind w:left="720"/>
      </w:pPr>
      <w:r>
        <w:t>.</w:t>
      </w:r>
    </w:p>
    <w:p w14:paraId="61E6546F" w14:textId="77777777" w:rsidR="00A619A2" w:rsidRDefault="00000000">
      <w:pPr>
        <w:pStyle w:val="FirstParagraph"/>
      </w:pPr>
      <w:r>
        <w:rPr>
          <w:b/>
          <w:bCs/>
        </w:rPr>
        <w:t>Article 21</w:t>
      </w:r>
      <w:r>
        <w:t xml:space="preserve"> states that:</w:t>
      </w:r>
    </w:p>
    <w:p w14:paraId="5C422447" w14:textId="77777777" w:rsidR="00A619A2" w:rsidRDefault="00000000">
      <w:pPr>
        <w:pStyle w:val="BlockText"/>
        <w:rPr>
          <w:i/>
          <w:iCs/>
        </w:rPr>
      </w:pPr>
      <w:r>
        <w:rPr>
          <w:i/>
          <w:iCs/>
        </w:rPr>
        <w:lastRenderedPageBreak/>
        <w:t xml:space="preserve">"The administrator shall, on </w:t>
      </w:r>
      <w:proofErr w:type="gramStart"/>
      <w:r>
        <w:rPr>
          <w:i/>
          <w:iCs/>
        </w:rPr>
        <w:t>advice</w:t>
      </w:r>
      <w:proofErr w:type="gramEnd"/>
      <w:r>
        <w:rPr>
          <w:i/>
          <w:iCs/>
        </w:rPr>
        <w:t xml:space="preserve"> of the Scheme actuary and the ECB organisational unit responsible for risk management, adopt and revise actuarial tables and assumptions to be used in the administration of the Scheme."</w:t>
      </w:r>
    </w:p>
    <w:p w14:paraId="1630EA91" w14:textId="77777777" w:rsidR="00241D4A" w:rsidRDefault="00241D4A" w:rsidP="00241D4A">
      <w:pPr>
        <w:pStyle w:val="BodyText"/>
      </w:pPr>
    </w:p>
    <w:p w14:paraId="328DF448" w14:textId="77777777" w:rsidR="00241D4A" w:rsidRDefault="00241D4A" w:rsidP="00241D4A">
      <w:pPr>
        <w:pStyle w:val="BodyText"/>
      </w:pPr>
    </w:p>
    <w:p w14:paraId="2EEA2376" w14:textId="77777777" w:rsidR="004133B4" w:rsidRPr="004133B4" w:rsidRDefault="004133B4" w:rsidP="004133B4">
      <w:pPr>
        <w:pStyle w:val="BodyText"/>
        <w:rPr>
          <w:rFonts w:asciiTheme="majorHAnsi" w:eastAsiaTheme="majorEastAsia" w:hAnsiTheme="majorHAnsi" w:cstheme="majorBidi"/>
          <w:b/>
          <w:bCs/>
          <w:color w:val="0F4761" w:themeColor="accent1" w:themeShade="BF"/>
          <w:sz w:val="32"/>
          <w:szCs w:val="32"/>
        </w:rPr>
      </w:pPr>
      <w:bookmarkStart w:id="16" w:name="revalued-earnings-calculation"/>
      <w:r w:rsidRPr="004133B4">
        <w:rPr>
          <w:rFonts w:asciiTheme="majorHAnsi" w:eastAsiaTheme="majorEastAsia" w:hAnsiTheme="majorHAnsi" w:cstheme="majorBidi"/>
          <w:b/>
          <w:bCs/>
          <w:color w:val="0F4761" w:themeColor="accent1" w:themeShade="BF"/>
          <w:sz w:val="32"/>
          <w:szCs w:val="32"/>
        </w:rPr>
        <w:t>7. Revalued Earnings Calculation</w:t>
      </w:r>
    </w:p>
    <w:p w14:paraId="675F3B0F" w14:textId="77777777" w:rsidR="004133B4" w:rsidRPr="004133B4" w:rsidRDefault="004133B4" w:rsidP="004133B4">
      <w:pPr>
        <w:pStyle w:val="BodyText"/>
      </w:pPr>
      <w:r w:rsidRPr="004133B4">
        <w:t xml:space="preserve">Revalued earnings at retirement age are computed by adjusting historical and projected salaries using </w:t>
      </w:r>
      <w:r w:rsidRPr="004133B4">
        <w:rPr>
          <w:b/>
          <w:bCs/>
        </w:rPr>
        <w:t>compounded revaluation factors</w:t>
      </w:r>
      <w:r w:rsidRPr="004133B4">
        <w:t xml:space="preserve">, incorporating </w:t>
      </w:r>
      <w:r w:rsidRPr="004133B4">
        <w:rPr>
          <w:b/>
          <w:bCs/>
        </w:rPr>
        <w:t>inflation and extra age-based increases</w:t>
      </w:r>
      <w:r w:rsidRPr="004133B4">
        <w:t>.</w:t>
      </w:r>
    </w:p>
    <w:p w14:paraId="4B699C72" w14:textId="77777777" w:rsidR="004133B4" w:rsidRPr="004133B4" w:rsidRDefault="004133B4" w:rsidP="004133B4">
      <w:pPr>
        <w:pStyle w:val="BodyText"/>
        <w:rPr>
          <w:rFonts w:eastAsiaTheme="majorEastAsia" w:cstheme="majorBidi"/>
          <w:b/>
          <w:bCs/>
          <w:color w:val="0F4761" w:themeColor="accent1" w:themeShade="BF"/>
          <w:sz w:val="28"/>
          <w:szCs w:val="28"/>
        </w:rPr>
      </w:pPr>
      <w:bookmarkStart w:id="17" w:name="define-the-relevant-salary-period"/>
      <w:r w:rsidRPr="004133B4">
        <w:rPr>
          <w:rFonts w:eastAsiaTheme="majorEastAsia" w:cstheme="majorBidi"/>
          <w:b/>
          <w:bCs/>
          <w:color w:val="0F4761" w:themeColor="accent1" w:themeShade="BF"/>
          <w:sz w:val="28"/>
          <w:szCs w:val="28"/>
        </w:rPr>
        <w:t>7.1 Define the Relevant Salary Period</w:t>
      </w:r>
    </w:p>
    <w:p w14:paraId="2DA38DC4" w14:textId="4E69ED55" w:rsidR="004133B4" w:rsidRPr="004133B4" w:rsidRDefault="004133B4" w:rsidP="004133B4">
      <w:pPr>
        <w:pStyle w:val="BodyText"/>
      </w:pPr>
      <w:r w:rsidRPr="004133B4">
        <w:t xml:space="preserve">The calculation considers the last </w:t>
      </w:r>
      <w:r w:rsidRPr="004133B4">
        <w:rPr>
          <w:b/>
          <w:bCs/>
        </w:rPr>
        <w:t>30 years of salary history</w:t>
      </w:r>
      <w:r w:rsidRPr="004133B4">
        <w:t xml:space="preserve"> up to the retirement age </w:t>
      </w:r>
      <m:oMath>
        <m:r>
          <w:rPr>
            <w:rFonts w:ascii="Cambria Math" w:hAnsi="Cambria Math"/>
          </w:rPr>
          <m:t>R</m:t>
        </m:r>
      </m:oMath>
      <w:r w:rsidRPr="004133B4">
        <w:t>:</w:t>
      </w:r>
    </w:p>
    <w:p w14:paraId="76827590" w14:textId="282F52F2" w:rsidR="004133B4" w:rsidRPr="004133B4" w:rsidRDefault="004133B4" w:rsidP="004133B4">
      <w:pPr>
        <w:pStyle w:val="BodyText"/>
      </w:pPr>
      <m:oMathPara>
        <m:oMathParaPr>
          <m:jc m:val="center"/>
        </m:oMathParaPr>
        <m:oMath>
          <m:r>
            <m:rPr>
              <m:nor/>
            </m:rPr>
            <m:t>Relevant Period</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R</m:t>
          </m:r>
          <m:r>
            <m:rPr>
              <m:sty m:val="p"/>
            </m:rPr>
            <w:rPr>
              <w:rFonts w:ascii="Cambria Math" w:hAnsi="Cambria Math"/>
            </w:rPr>
            <m:t>]</m:t>
          </m:r>
        </m:oMath>
      </m:oMathPara>
    </w:p>
    <w:p w14:paraId="05E4FB98" w14:textId="77777777" w:rsidR="004133B4" w:rsidRPr="004133B4" w:rsidRDefault="004133B4" w:rsidP="004133B4">
      <w:pPr>
        <w:pStyle w:val="BodyText"/>
      </w:pPr>
      <w:r w:rsidRPr="004133B4">
        <w:t>Each salary within this period is adjusted using revaluation factors.</w:t>
      </w:r>
    </w:p>
    <w:p w14:paraId="3C94A772" w14:textId="77777777" w:rsidR="004133B4" w:rsidRPr="004133B4" w:rsidRDefault="004133B4" w:rsidP="004133B4">
      <w:pPr>
        <w:pStyle w:val="BodyText"/>
        <w:rPr>
          <w:rFonts w:eastAsiaTheme="majorEastAsia" w:cstheme="majorBidi"/>
          <w:b/>
          <w:bCs/>
          <w:color w:val="0F4761" w:themeColor="accent1" w:themeShade="BF"/>
          <w:sz w:val="28"/>
          <w:szCs w:val="28"/>
        </w:rPr>
      </w:pPr>
      <w:bookmarkStart w:id="18" w:name="revaluation-factor-calculation"/>
      <w:bookmarkEnd w:id="17"/>
      <w:r w:rsidRPr="004133B4">
        <w:rPr>
          <w:rFonts w:eastAsiaTheme="majorEastAsia" w:cstheme="majorBidi"/>
          <w:b/>
          <w:bCs/>
          <w:color w:val="0F4761" w:themeColor="accent1" w:themeShade="BF"/>
          <w:sz w:val="28"/>
          <w:szCs w:val="28"/>
        </w:rPr>
        <w:t>7.2 Revaluation Factor Calculation</w:t>
      </w:r>
    </w:p>
    <w:p w14:paraId="2DE8A738" w14:textId="1C3955DC" w:rsidR="004133B4" w:rsidRPr="004133B4" w:rsidRDefault="004133B4" w:rsidP="004133B4">
      <w:pPr>
        <w:pStyle w:val="BodyText"/>
      </w:pPr>
      <w:r w:rsidRPr="004133B4">
        <w:t xml:space="preserve">Each salary </w:t>
      </w:r>
      <m:oMath>
        <m:sSub>
          <m:sSubPr>
            <m:ctrlPr>
              <w:rPr>
                <w:rFonts w:ascii="Cambria Math" w:hAnsi="Cambria Math"/>
              </w:rPr>
            </m:ctrlPr>
          </m:sSubPr>
          <m:e>
            <w:proofErr w:type="spellStart"/>
            <m:r>
              <m:rPr>
                <m:nor/>
              </m:rPr>
              <m:t>Salary</m:t>
            </m:r>
            <w:proofErr w:type="spellEnd"/>
          </m:e>
          <m:sub>
            <m:r>
              <w:rPr>
                <w:rFonts w:ascii="Cambria Math" w:hAnsi="Cambria Math"/>
              </w:rPr>
              <m:t>t</m:t>
            </m:r>
          </m:sub>
        </m:sSub>
      </m:oMath>
      <w:r w:rsidRPr="004133B4">
        <w:t xml:space="preserve"> earned at age </w:t>
      </w:r>
      <m:oMath>
        <m:r>
          <w:rPr>
            <w:rFonts w:ascii="Cambria Math" w:hAnsi="Cambria Math"/>
          </w:rPr>
          <m:t>t</m:t>
        </m:r>
      </m:oMath>
      <w:r w:rsidRPr="004133B4">
        <w:t xml:space="preserve"> is revalued to the retirement year:</w:t>
      </w:r>
    </w:p>
    <w:p w14:paraId="5163CAE9" w14:textId="5C7D60A1" w:rsidR="004133B4" w:rsidRPr="004133B4" w:rsidRDefault="004133B4" w:rsidP="004133B4">
      <w:pPr>
        <w:pStyle w:val="BodyText"/>
      </w:pPr>
      <m:oMathPara>
        <m:oMathParaPr>
          <m:jc m:val="center"/>
        </m:oMathParaPr>
        <m:oMath>
          <m:sSub>
            <m:sSubPr>
              <m:ctrlPr>
                <w:rPr>
                  <w:rFonts w:ascii="Cambria Math" w:hAnsi="Cambria Math"/>
                </w:rPr>
              </m:ctrlPr>
            </m:sSubPr>
            <m:e>
              <m:r>
                <m:rPr>
                  <m:nor/>
                </m:rPr>
                <m:t>Revalued Salary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nor/>
                </m:rPr>
                <m:t>Salary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nor/>
                </m:rPr>
                <m:t>Revaluation Factor</m:t>
              </m:r>
            </m:e>
            <m:sub>
              <m:r>
                <w:rPr>
                  <w:rFonts w:ascii="Cambria Math" w:hAnsi="Cambria Math"/>
                </w:rPr>
                <m:t>t</m:t>
              </m:r>
            </m:sub>
          </m:sSub>
        </m:oMath>
      </m:oMathPara>
    </w:p>
    <w:p w14:paraId="7C6C35FE" w14:textId="77777777" w:rsidR="004133B4" w:rsidRPr="004133B4" w:rsidRDefault="004133B4" w:rsidP="004133B4">
      <w:pPr>
        <w:pStyle w:val="BodyText"/>
      </w:pPr>
      <w:r w:rsidRPr="004133B4">
        <w:t xml:space="preserve">where the </w:t>
      </w:r>
      <w:r w:rsidRPr="004133B4">
        <w:rPr>
          <w:b/>
          <w:bCs/>
        </w:rPr>
        <w:t>Revaluation Factor</w:t>
      </w:r>
      <w:r w:rsidRPr="004133B4">
        <w:t xml:space="preserve"> is:</w:t>
      </w:r>
    </w:p>
    <w:p w14:paraId="5E6039F2" w14:textId="0CBA8108" w:rsidR="004133B4" w:rsidRPr="004133B4" w:rsidRDefault="004133B4" w:rsidP="004133B4">
      <w:pPr>
        <w:pStyle w:val="BodyText"/>
      </w:pPr>
      <m:oMathPara>
        <m:oMathParaPr>
          <m:jc m:val="center"/>
        </m:oMathParaPr>
        <m:oMath>
          <m:sSub>
            <m:sSubPr>
              <m:ctrlPr>
                <w:rPr>
                  <w:rFonts w:ascii="Cambria Math" w:hAnsi="Cambria Math"/>
                </w:rPr>
              </m:ctrlPr>
            </m:sSubPr>
            <m:e>
              <m:r>
                <m:rPr>
                  <m:nor/>
                </m:rPr>
                <m:t>Revaluation Factor</m:t>
              </m:r>
            </m:e>
            <m:sub>
              <m: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R</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y</m:t>
                      </m:r>
                    </m:sub>
                  </m:sSub>
                </m:e>
              </m:d>
            </m:e>
          </m:nary>
        </m:oMath>
      </m:oMathPara>
    </w:p>
    <w:p w14:paraId="2C9BEFAD" w14:textId="77777777" w:rsidR="004133B4" w:rsidRPr="004133B4" w:rsidRDefault="004133B4" w:rsidP="004133B4">
      <w:pPr>
        <w:pStyle w:val="BodyText"/>
      </w:pPr>
      <w:r w:rsidRPr="004133B4">
        <w:t>with:</w:t>
      </w:r>
    </w:p>
    <w:p w14:paraId="754695DD" w14:textId="6E2C4FDB" w:rsidR="004133B4" w:rsidRPr="004133B4" w:rsidRDefault="004133B4" w:rsidP="004133B4">
      <w:pPr>
        <w:pStyle w:val="BodyText"/>
        <w:numPr>
          <w:ilvl w:val="0"/>
          <w:numId w:val="168"/>
        </w:numPr>
      </w:pPr>
      <m:oMath>
        <m:sSub>
          <m:sSubPr>
            <m:ctrlPr>
              <w:rPr>
                <w:rFonts w:ascii="Cambria Math" w:hAnsi="Cambria Math"/>
              </w:rPr>
            </m:ctrlPr>
          </m:sSubPr>
          <m:e>
            <m:r>
              <w:rPr>
                <w:rFonts w:ascii="Cambria Math" w:hAnsi="Cambria Math"/>
              </w:rPr>
              <m:t>i</m:t>
            </m:r>
          </m:e>
          <m:sub>
            <m:r>
              <w:rPr>
                <w:rFonts w:ascii="Cambria Math" w:hAnsi="Cambria Math"/>
              </w:rPr>
              <m:t>y</m:t>
            </m:r>
          </m:sub>
        </m:sSub>
      </m:oMath>
      <w:r w:rsidRPr="004133B4">
        <w:t xml:space="preserve"> = </w:t>
      </w:r>
      <w:r w:rsidRPr="004133B4">
        <w:rPr>
          <w:b/>
          <w:bCs/>
        </w:rPr>
        <w:t>Inflation rate</w:t>
      </w:r>
      <w:r w:rsidRPr="004133B4">
        <w:t xml:space="preserve"> for year </w:t>
      </w:r>
      <m:oMath>
        <m:r>
          <w:rPr>
            <w:rFonts w:ascii="Cambria Math" w:hAnsi="Cambria Math"/>
          </w:rPr>
          <m:t>y</m:t>
        </m:r>
      </m:oMath>
      <w:r w:rsidRPr="004133B4">
        <w:t>.</w:t>
      </w:r>
    </w:p>
    <w:p w14:paraId="2FF02D35" w14:textId="08091206" w:rsidR="004133B4" w:rsidRPr="004133B4" w:rsidRDefault="004133B4" w:rsidP="004133B4">
      <w:pPr>
        <w:pStyle w:val="BodyText"/>
        <w:numPr>
          <w:ilvl w:val="0"/>
          <w:numId w:val="168"/>
        </w:numPr>
      </w:pPr>
      <m:oMath>
        <m:sSub>
          <m:sSubPr>
            <m:ctrlPr>
              <w:rPr>
                <w:rFonts w:ascii="Cambria Math" w:hAnsi="Cambria Math"/>
              </w:rPr>
            </m:ctrlPr>
          </m:sSubPr>
          <m:e>
            <m:r>
              <w:rPr>
                <w:rFonts w:ascii="Cambria Math" w:hAnsi="Cambria Math"/>
              </w:rPr>
              <m:t>s</m:t>
            </m:r>
          </m:e>
          <m:sub>
            <m:r>
              <w:rPr>
                <w:rFonts w:ascii="Cambria Math" w:hAnsi="Cambria Math"/>
              </w:rPr>
              <m:t>y</m:t>
            </m:r>
          </m:sub>
        </m:sSub>
      </m:oMath>
      <w:r w:rsidRPr="004133B4">
        <w:t xml:space="preserve"> = </w:t>
      </w:r>
      <w:r w:rsidRPr="004133B4">
        <w:rPr>
          <w:b/>
          <w:bCs/>
        </w:rPr>
        <w:t xml:space="preserve">Extra salary </w:t>
      </w:r>
      <w:proofErr w:type="gramStart"/>
      <w:r w:rsidRPr="004133B4">
        <w:rPr>
          <w:b/>
          <w:bCs/>
        </w:rPr>
        <w:t>increase</w:t>
      </w:r>
      <w:proofErr w:type="gramEnd"/>
      <w:r w:rsidRPr="004133B4">
        <w:t xml:space="preserve"> (applies only before age 55).</w:t>
      </w:r>
    </w:p>
    <w:p w14:paraId="2C030FB7" w14:textId="77777777" w:rsidR="004133B4" w:rsidRPr="004133B4" w:rsidRDefault="004133B4" w:rsidP="004133B4">
      <w:pPr>
        <w:pStyle w:val="BodyText"/>
      </w:pPr>
      <w:r w:rsidRPr="004133B4">
        <w:t xml:space="preserve">For </w:t>
      </w:r>
      <w:r w:rsidRPr="004133B4">
        <w:rPr>
          <w:b/>
          <w:bCs/>
        </w:rPr>
        <w:t>historical salaries</w:t>
      </w:r>
      <w:r w:rsidRPr="004133B4">
        <w:t xml:space="preserve">, only actual recorded revaluation factors apply. For </w:t>
      </w:r>
      <w:r w:rsidRPr="004133B4">
        <w:rPr>
          <w:b/>
          <w:bCs/>
        </w:rPr>
        <w:t>future salaries</w:t>
      </w:r>
      <w:r w:rsidRPr="004133B4">
        <w:t xml:space="preserve">, extra increases apply </w:t>
      </w:r>
      <w:proofErr w:type="gramStart"/>
      <w:r w:rsidRPr="004133B4">
        <w:t>until</w:t>
      </w:r>
      <w:proofErr w:type="gramEnd"/>
      <w:r w:rsidRPr="004133B4">
        <w:t xml:space="preserve"> 55, after which only inflation is considered.</w:t>
      </w:r>
    </w:p>
    <w:p w14:paraId="0C7EA192" w14:textId="77777777" w:rsidR="004133B4" w:rsidRPr="004133B4" w:rsidRDefault="004133B4" w:rsidP="004133B4">
      <w:pPr>
        <w:pStyle w:val="BodyText"/>
        <w:rPr>
          <w:rFonts w:eastAsiaTheme="majorEastAsia" w:cstheme="majorBidi"/>
          <w:b/>
          <w:bCs/>
          <w:color w:val="0F4761" w:themeColor="accent1" w:themeShade="BF"/>
          <w:sz w:val="28"/>
          <w:szCs w:val="28"/>
        </w:rPr>
      </w:pPr>
      <w:bookmarkStart w:id="19" w:name="compute-average-revalued-earnings"/>
      <w:bookmarkEnd w:id="18"/>
      <w:r w:rsidRPr="004133B4">
        <w:rPr>
          <w:rFonts w:eastAsiaTheme="majorEastAsia" w:cstheme="majorBidi"/>
          <w:b/>
          <w:bCs/>
          <w:color w:val="0F4761" w:themeColor="accent1" w:themeShade="BF"/>
          <w:sz w:val="28"/>
          <w:szCs w:val="28"/>
        </w:rPr>
        <w:t>7.3 Compute Average Revalued Earnings</w:t>
      </w:r>
    </w:p>
    <w:p w14:paraId="71091974" w14:textId="77777777" w:rsidR="004133B4" w:rsidRPr="004133B4" w:rsidRDefault="004133B4" w:rsidP="004133B4">
      <w:pPr>
        <w:pStyle w:val="BodyText"/>
      </w:pPr>
      <w:r w:rsidRPr="004133B4">
        <w:t xml:space="preserve">The </w:t>
      </w:r>
      <w:r w:rsidRPr="004133B4">
        <w:rPr>
          <w:b/>
          <w:bCs/>
        </w:rPr>
        <w:t>average revalued earnings</w:t>
      </w:r>
      <w:r w:rsidRPr="004133B4">
        <w:t xml:space="preserve"> over 30 years are:</w:t>
      </w:r>
    </w:p>
    <w:p w14:paraId="052278EC" w14:textId="09A24C75" w:rsidR="004133B4" w:rsidRPr="004133B4" w:rsidRDefault="004133B4" w:rsidP="004133B4">
      <w:pPr>
        <w:pStyle w:val="BodyText"/>
      </w:pPr>
      <m:oMathPara>
        <m:oMathParaPr>
          <m:jc m:val="center"/>
        </m:oMathParaPr>
        <m:oMath>
          <m:r>
            <m:rPr>
              <m:nor/>
            </m:rPr>
            <m:t>Average Revalued Earnings</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30</m:t>
                      </m:r>
                    </m:e>
                  </m:d>
                </m:sub>
                <m:sup>
                  <m:r>
                    <w:rPr>
                      <w:rFonts w:ascii="Cambria Math" w:hAnsi="Cambria Math"/>
                    </w:rPr>
                    <m:t>R</m:t>
                  </m:r>
                </m:sup>
                <m:e>
                  <m:d>
                    <m:dPr>
                      <m:ctrlPr>
                        <w:rPr>
                          <w:rFonts w:ascii="Cambria Math" w:hAnsi="Cambria Math"/>
                        </w:rPr>
                      </m:ctrlPr>
                    </m:dPr>
                    <m:e>
                      <m:sSub>
                        <m:sSubPr>
                          <m:ctrlPr>
                            <w:rPr>
                              <w:rFonts w:ascii="Cambria Math" w:hAnsi="Cambria Math"/>
                            </w:rPr>
                          </m:ctrlPr>
                        </m:sSubPr>
                        <m:e>
                          <m:r>
                            <m:rPr>
                              <m:nor/>
                            </m:rPr>
                            <m:t>Revalued Salary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nor/>
                            </m:rPr>
                            <m:t>Employment Factor</m:t>
                          </m:r>
                        </m:e>
                        <m:sub>
                          <m:r>
                            <w:rPr>
                              <w:rFonts w:ascii="Cambria Math" w:hAnsi="Cambria Math"/>
                            </w:rPr>
                            <m:t>t</m:t>
                          </m:r>
                        </m:sub>
                      </m:sSub>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30</m:t>
                      </m:r>
                    </m:e>
                  </m:d>
                </m:sub>
                <m:sup>
                  <m:r>
                    <w:rPr>
                      <w:rFonts w:ascii="Cambria Math" w:hAnsi="Cambria Math"/>
                    </w:rPr>
                    <m:t>R</m:t>
                  </m:r>
                </m:sup>
                <m:e>
                  <m:sSub>
                    <m:sSubPr>
                      <m:ctrlPr>
                        <w:rPr>
                          <w:rFonts w:ascii="Cambria Math" w:hAnsi="Cambria Math"/>
                        </w:rPr>
                      </m:ctrlPr>
                    </m:sSubPr>
                    <m:e>
                      <m:r>
                        <m:rPr>
                          <m:nor/>
                        </m:rPr>
                        <m:t>Employment Factor</m:t>
                      </m:r>
                    </m:e>
                    <m:sub>
                      <m:r>
                        <w:rPr>
                          <w:rFonts w:ascii="Cambria Math" w:hAnsi="Cambria Math"/>
                        </w:rPr>
                        <m:t>t</m:t>
                      </m:r>
                    </m:sub>
                  </m:sSub>
                </m:e>
              </m:nary>
            </m:den>
          </m:f>
        </m:oMath>
      </m:oMathPara>
    </w:p>
    <w:p w14:paraId="168599ED" w14:textId="77777777" w:rsidR="004133B4" w:rsidRPr="004133B4" w:rsidRDefault="004133B4" w:rsidP="004133B4">
      <w:pPr>
        <w:pStyle w:val="BodyText"/>
      </w:pPr>
      <w:r w:rsidRPr="004133B4">
        <w:t>where:</w:t>
      </w:r>
    </w:p>
    <w:p w14:paraId="1E6EE8AD" w14:textId="0682807E" w:rsidR="004133B4" w:rsidRPr="004133B4" w:rsidRDefault="004133B4" w:rsidP="004133B4">
      <w:pPr>
        <w:pStyle w:val="BodyText"/>
        <w:numPr>
          <w:ilvl w:val="0"/>
          <w:numId w:val="168"/>
        </w:numPr>
      </w:pPr>
      <m:oMath>
        <m:sSub>
          <m:sSubPr>
            <m:ctrlPr>
              <w:rPr>
                <w:rFonts w:ascii="Cambria Math" w:hAnsi="Cambria Math"/>
              </w:rPr>
            </m:ctrlPr>
          </m:sSubPr>
          <m:e>
            <m:r>
              <m:rPr>
                <m:nor/>
              </m:rPr>
              <m:t>Employment Factor</m:t>
            </m:r>
          </m:e>
          <m:sub>
            <m:r>
              <w:rPr>
                <w:rFonts w:ascii="Cambria Math" w:hAnsi="Cambria Math"/>
              </w:rPr>
              <m:t>t</m:t>
            </m:r>
          </m:sub>
        </m:sSub>
      </m:oMath>
      <w:r w:rsidRPr="004133B4">
        <w:t xml:space="preserve"> represents the proportion of the year worked. It equals </w:t>
      </w:r>
      <w:r w:rsidRPr="004133B4">
        <w:rPr>
          <w:b/>
          <w:bCs/>
        </w:rPr>
        <w:t>1</w:t>
      </w:r>
      <w:r w:rsidRPr="004133B4">
        <w:t xml:space="preserve"> for a full working </w:t>
      </w:r>
      <w:proofErr w:type="gramStart"/>
      <w:r w:rsidRPr="004133B4">
        <w:t>year, but</w:t>
      </w:r>
      <w:proofErr w:type="gramEnd"/>
      <w:r w:rsidRPr="004133B4">
        <w:t xml:space="preserve"> is adjusted for periods of </w:t>
      </w:r>
      <w:r w:rsidRPr="004133B4">
        <w:rPr>
          <w:b/>
          <w:bCs/>
        </w:rPr>
        <w:t>part-time work or unpaid leave</w:t>
      </w:r>
      <w:r w:rsidRPr="004133B4">
        <w:t>.</w:t>
      </w:r>
    </w:p>
    <w:p w14:paraId="1FE0E494" w14:textId="77777777" w:rsidR="004133B4" w:rsidRPr="004133B4" w:rsidRDefault="004133B4" w:rsidP="004133B4">
      <w:pPr>
        <w:pStyle w:val="BodyText"/>
        <w:rPr>
          <w:rFonts w:eastAsiaTheme="majorEastAsia" w:cstheme="majorBidi"/>
          <w:b/>
          <w:bCs/>
          <w:color w:val="0F4761" w:themeColor="accent1" w:themeShade="BF"/>
          <w:sz w:val="28"/>
          <w:szCs w:val="28"/>
        </w:rPr>
      </w:pPr>
      <w:bookmarkStart w:id="20" w:name="discounting-to-present-value"/>
      <w:bookmarkEnd w:id="19"/>
      <w:r w:rsidRPr="004133B4">
        <w:rPr>
          <w:rFonts w:eastAsiaTheme="majorEastAsia" w:cstheme="majorBidi"/>
          <w:b/>
          <w:bCs/>
          <w:color w:val="0F4761" w:themeColor="accent1" w:themeShade="BF"/>
          <w:sz w:val="28"/>
          <w:szCs w:val="28"/>
        </w:rPr>
        <w:t>7.4 Discounting to Present Value</w:t>
      </w:r>
    </w:p>
    <w:p w14:paraId="11ADD04B" w14:textId="77777777" w:rsidR="004133B4" w:rsidRPr="004133B4" w:rsidRDefault="004133B4" w:rsidP="004133B4">
      <w:pPr>
        <w:pStyle w:val="BodyText"/>
      </w:pPr>
      <w:r w:rsidRPr="004133B4">
        <w:t xml:space="preserve">Revalued earnings are discounted to the </w:t>
      </w:r>
      <w:r w:rsidRPr="004133B4">
        <w:rPr>
          <w:b/>
          <w:bCs/>
        </w:rPr>
        <w:t>report date</w:t>
      </w:r>
      <w:r w:rsidRPr="004133B4">
        <w:t>:</w:t>
      </w:r>
    </w:p>
    <w:p w14:paraId="541C8E82" w14:textId="4D88DED2" w:rsidR="004133B4" w:rsidRPr="004133B4" w:rsidRDefault="004133B4" w:rsidP="004133B4">
      <w:pPr>
        <w:pStyle w:val="BodyText"/>
      </w:pPr>
      <m:oMathPara>
        <m:oMathParaPr>
          <m:jc m:val="center"/>
        </m:oMathParaPr>
        <m:oMath>
          <m:r>
            <m:rPr>
              <m:nor/>
            </m:rPr>
            <m:t>Discounted Revalued Earnings</m:t>
          </m:r>
          <m:r>
            <m:rPr>
              <m:sty m:val="p"/>
            </m:rPr>
            <w:rPr>
              <w:rFonts w:ascii="Cambria Math" w:hAnsi="Cambria Math"/>
            </w:rPr>
            <m:t>=</m:t>
          </m:r>
          <m:f>
            <m:fPr>
              <m:ctrlPr>
                <w:rPr>
                  <w:rFonts w:ascii="Cambria Math" w:hAnsi="Cambria Math"/>
                </w:rPr>
              </m:ctrlPr>
            </m:fPr>
            <m:num>
              <m:r>
                <m:rPr>
                  <m:nor/>
                </m:rPr>
                <m:t>Average Revalued Earnings</m:t>
              </m: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i</m:t>
                      </m:r>
                    </m:e>
                  </m:d>
                </m:e>
                <m:sup>
                  <m:r>
                    <m:rPr>
                      <m:nor/>
                    </m:rPr>
                    <m:t>Years to Discount</m:t>
                  </m:r>
                </m:sup>
              </m:sSup>
            </m:den>
          </m:f>
        </m:oMath>
      </m:oMathPara>
    </w:p>
    <w:p w14:paraId="6693F315" w14:textId="77777777" w:rsidR="004133B4" w:rsidRPr="004133B4" w:rsidRDefault="004133B4" w:rsidP="004133B4">
      <w:pPr>
        <w:pStyle w:val="BodyText"/>
      </w:pPr>
      <w:r w:rsidRPr="004133B4">
        <w:t>where:</w:t>
      </w:r>
    </w:p>
    <w:p w14:paraId="54E14F02" w14:textId="47934B08" w:rsidR="004133B4" w:rsidRPr="004133B4" w:rsidRDefault="004133B4" w:rsidP="004133B4">
      <w:pPr>
        <w:pStyle w:val="BodyText"/>
      </w:pPr>
      <m:oMathPara>
        <m:oMathParaPr>
          <m:jc m:val="center"/>
        </m:oMathParaPr>
        <m:oMath>
          <m:r>
            <m:rPr>
              <m:nor/>
            </m:rPr>
            <m:t>Years to Discount</m:t>
          </m:r>
          <m:r>
            <m:rPr>
              <m:sty m:val="p"/>
            </m:rPr>
            <w:rPr>
              <w:rFonts w:ascii="Cambria Math" w:hAnsi="Cambria Math"/>
            </w:rPr>
            <m:t>=</m:t>
          </m:r>
          <m:f>
            <m:fPr>
              <m:ctrlPr>
                <w:rPr>
                  <w:rFonts w:ascii="Cambria Math" w:hAnsi="Cambria Math"/>
                </w:rPr>
              </m:ctrlPr>
            </m:fPr>
            <m:num>
              <m:r>
                <m:rPr>
                  <m:nor/>
                </m:rPr>
                <m:t>Retirement Date</m:t>
              </m:r>
              <m:r>
                <m:rPr>
                  <m:sty m:val="p"/>
                </m:rPr>
                <w:rPr>
                  <w:rFonts w:ascii="Cambria Math" w:hAnsi="Cambria Math"/>
                </w:rPr>
                <m:t>-</m:t>
              </m:r>
              <m:r>
                <m:rPr>
                  <m:nor/>
                </m:rPr>
                <m:t>Report Date</m:t>
              </m:r>
            </m:num>
            <m:den>
              <m:r>
                <w:rPr>
                  <w:rFonts w:ascii="Cambria Math" w:hAnsi="Cambria Math"/>
                </w:rPr>
                <m:t>365.25</m:t>
              </m:r>
            </m:den>
          </m:f>
        </m:oMath>
      </m:oMathPara>
    </w:p>
    <w:p w14:paraId="62A0EC85" w14:textId="77777777" w:rsidR="004133B4" w:rsidRPr="004133B4" w:rsidRDefault="004133B4" w:rsidP="004133B4">
      <w:pPr>
        <w:pStyle w:val="BodyText"/>
      </w:pPr>
      <w:r w:rsidRPr="004133B4">
        <w:t>This ensures consistency in pension calculations by reflecting the present value of projected earnings.</w:t>
      </w:r>
    </w:p>
    <w:bookmarkEnd w:id="16"/>
    <w:bookmarkEnd w:id="20"/>
    <w:p w14:paraId="7BF63CF3" w14:textId="77777777" w:rsidR="00241D4A" w:rsidRPr="00241D4A" w:rsidRDefault="00241D4A" w:rsidP="00241D4A">
      <w:pPr>
        <w:pStyle w:val="BodyText"/>
      </w:pPr>
    </w:p>
    <w:p w14:paraId="70769E98" w14:textId="27E56865" w:rsidR="00A619A2" w:rsidRDefault="00A619A2"/>
    <w:p w14:paraId="055FB6B8" w14:textId="5F99235B" w:rsidR="00A619A2" w:rsidRDefault="00A619A2">
      <w:pPr>
        <w:pStyle w:val="BodyText"/>
      </w:pPr>
      <w:bookmarkStart w:id="21" w:name="conclusion"/>
      <w:bookmarkEnd w:id="12"/>
      <w:bookmarkEnd w:id="15"/>
      <w:bookmarkEnd w:id="21"/>
    </w:p>
    <w:sectPr w:rsidR="00A619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65639" w14:textId="77777777" w:rsidR="00667CAE" w:rsidRDefault="00667CAE" w:rsidP="00241D4A">
      <w:pPr>
        <w:spacing w:after="0"/>
      </w:pPr>
      <w:r>
        <w:separator/>
      </w:r>
    </w:p>
  </w:endnote>
  <w:endnote w:type="continuationSeparator" w:id="0">
    <w:p w14:paraId="7AEA1355" w14:textId="77777777" w:rsidR="00667CAE" w:rsidRDefault="00667CAE" w:rsidP="00241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87459" w14:textId="77777777" w:rsidR="00667CAE" w:rsidRDefault="00667CAE" w:rsidP="00241D4A">
      <w:pPr>
        <w:spacing w:after="0"/>
      </w:pPr>
      <w:r>
        <w:separator/>
      </w:r>
    </w:p>
  </w:footnote>
  <w:footnote w:type="continuationSeparator" w:id="0">
    <w:p w14:paraId="46C728EE" w14:textId="77777777" w:rsidR="00667CAE" w:rsidRDefault="00667CAE" w:rsidP="00241D4A">
      <w:pPr>
        <w:spacing w:after="0"/>
      </w:pPr>
      <w:r>
        <w:continuationSeparator/>
      </w:r>
    </w:p>
  </w:footnote>
  <w:footnote w:id="1">
    <w:p w14:paraId="55DA5610" w14:textId="18AFBB4B" w:rsidR="00241D4A" w:rsidRPr="00241D4A" w:rsidRDefault="00241D4A">
      <w:pPr>
        <w:pStyle w:val="FootnoteText"/>
      </w:pPr>
      <w:r>
        <w:rPr>
          <w:rStyle w:val="FootnoteReference"/>
        </w:rPr>
        <w:footnoteRef/>
      </w:r>
      <w:r>
        <w:t xml:space="preserve"> </w:t>
      </w:r>
      <w:r w:rsidRPr="00241D4A">
        <w:t xml:space="preserve">PCF calculations address technical considerations, including the fact that pensions are paid monthly on the </w:t>
      </w:r>
      <w:r>
        <w:t xml:space="preserve">day </w:t>
      </w:r>
      <w:r w:rsidRPr="00241D4A">
        <w:t>15th. Additionally,</w:t>
      </w:r>
      <w:r>
        <w:t xml:space="preserve"> </w:t>
      </w:r>
      <w:proofErr w:type="gramStart"/>
      <w:r>
        <w:t xml:space="preserve">these </w:t>
      </w:r>
      <w:r w:rsidRPr="00241D4A">
        <w:t xml:space="preserve"> adjustments</w:t>
      </w:r>
      <w:proofErr w:type="gramEnd"/>
      <w:r w:rsidRPr="00241D4A">
        <w:t xml:space="preserve"> </w:t>
      </w:r>
      <w:r>
        <w:t xml:space="preserve">also </w:t>
      </w:r>
      <w:r w:rsidRPr="00241D4A">
        <w:t>account for the misalignment between the pension start date and the natural calendar year, ensuring accurate actuarial computations that reflect these timing effects.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CA94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DA14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7C7C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94F2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E66B3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A0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AD4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367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32E9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7ACD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A76F23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8F52DF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00A99201"/>
    <w:multiLevelType w:val="multilevel"/>
    <w:tmpl w:val="AA087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170CD2DE"/>
    <w:multiLevelType w:val="multilevel"/>
    <w:tmpl w:val="60E481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24693139">
    <w:abstractNumId w:val="13"/>
  </w:num>
  <w:num w:numId="2" w16cid:durableId="1210262218">
    <w:abstractNumId w:val="9"/>
  </w:num>
  <w:num w:numId="3" w16cid:durableId="1124689705">
    <w:abstractNumId w:val="8"/>
  </w:num>
  <w:num w:numId="4" w16cid:durableId="731544624">
    <w:abstractNumId w:val="7"/>
  </w:num>
  <w:num w:numId="5" w16cid:durableId="1488861656">
    <w:abstractNumId w:val="6"/>
  </w:num>
  <w:num w:numId="6" w16cid:durableId="477959411">
    <w:abstractNumId w:val="5"/>
  </w:num>
  <w:num w:numId="7" w16cid:durableId="1839954500">
    <w:abstractNumId w:val="4"/>
  </w:num>
  <w:num w:numId="8" w16cid:durableId="1867252605">
    <w:abstractNumId w:val="3"/>
  </w:num>
  <w:num w:numId="9" w16cid:durableId="321127133">
    <w:abstractNumId w:val="2"/>
  </w:num>
  <w:num w:numId="10" w16cid:durableId="1366759467">
    <w:abstractNumId w:val="1"/>
  </w:num>
  <w:num w:numId="11" w16cid:durableId="1472140782">
    <w:abstractNumId w:val="0"/>
  </w:num>
  <w:num w:numId="12" w16cid:durableId="67659437">
    <w:abstractNumId w:val="8"/>
  </w:num>
  <w:num w:numId="13" w16cid:durableId="1389105613">
    <w:abstractNumId w:val="3"/>
  </w:num>
  <w:num w:numId="14" w16cid:durableId="658114841">
    <w:abstractNumId w:val="2"/>
  </w:num>
  <w:num w:numId="15" w16cid:durableId="166673275">
    <w:abstractNumId w:val="1"/>
  </w:num>
  <w:num w:numId="16" w16cid:durableId="758989341">
    <w:abstractNumId w:val="0"/>
  </w:num>
  <w:num w:numId="17" w16cid:durableId="1604849100">
    <w:abstractNumId w:val="8"/>
  </w:num>
  <w:num w:numId="18" w16cid:durableId="1872376338">
    <w:abstractNumId w:val="3"/>
  </w:num>
  <w:num w:numId="19" w16cid:durableId="453255074">
    <w:abstractNumId w:val="2"/>
  </w:num>
  <w:num w:numId="20" w16cid:durableId="1519193340">
    <w:abstractNumId w:val="1"/>
  </w:num>
  <w:num w:numId="21" w16cid:durableId="64183687">
    <w:abstractNumId w:val="0"/>
  </w:num>
  <w:num w:numId="22" w16cid:durableId="1881046726">
    <w:abstractNumId w:val="8"/>
  </w:num>
  <w:num w:numId="23" w16cid:durableId="293291141">
    <w:abstractNumId w:val="3"/>
  </w:num>
  <w:num w:numId="24" w16cid:durableId="226040243">
    <w:abstractNumId w:val="2"/>
  </w:num>
  <w:num w:numId="25" w16cid:durableId="350768483">
    <w:abstractNumId w:val="1"/>
  </w:num>
  <w:num w:numId="26" w16cid:durableId="1284187935">
    <w:abstractNumId w:val="0"/>
  </w:num>
  <w:num w:numId="27" w16cid:durableId="567613641">
    <w:abstractNumId w:val="8"/>
  </w:num>
  <w:num w:numId="28" w16cid:durableId="1992830610">
    <w:abstractNumId w:val="3"/>
  </w:num>
  <w:num w:numId="29" w16cid:durableId="1277299286">
    <w:abstractNumId w:val="2"/>
  </w:num>
  <w:num w:numId="30" w16cid:durableId="1384132582">
    <w:abstractNumId w:val="1"/>
  </w:num>
  <w:num w:numId="31" w16cid:durableId="242884524">
    <w:abstractNumId w:val="0"/>
  </w:num>
  <w:num w:numId="32" w16cid:durableId="237254149">
    <w:abstractNumId w:val="8"/>
  </w:num>
  <w:num w:numId="33" w16cid:durableId="1249122975">
    <w:abstractNumId w:val="3"/>
  </w:num>
  <w:num w:numId="34" w16cid:durableId="561871531">
    <w:abstractNumId w:val="2"/>
  </w:num>
  <w:num w:numId="35" w16cid:durableId="601885692">
    <w:abstractNumId w:val="1"/>
  </w:num>
  <w:num w:numId="36" w16cid:durableId="721565719">
    <w:abstractNumId w:val="0"/>
  </w:num>
  <w:num w:numId="37" w16cid:durableId="561983021">
    <w:abstractNumId w:val="8"/>
  </w:num>
  <w:num w:numId="38" w16cid:durableId="382675534">
    <w:abstractNumId w:val="3"/>
  </w:num>
  <w:num w:numId="39" w16cid:durableId="1214853816">
    <w:abstractNumId w:val="2"/>
  </w:num>
  <w:num w:numId="40" w16cid:durableId="1796213138">
    <w:abstractNumId w:val="1"/>
  </w:num>
  <w:num w:numId="41" w16cid:durableId="397673562">
    <w:abstractNumId w:val="0"/>
  </w:num>
  <w:num w:numId="42" w16cid:durableId="1903372981">
    <w:abstractNumId w:val="8"/>
  </w:num>
  <w:num w:numId="43" w16cid:durableId="1587641893">
    <w:abstractNumId w:val="3"/>
  </w:num>
  <w:num w:numId="44" w16cid:durableId="985553758">
    <w:abstractNumId w:val="2"/>
  </w:num>
  <w:num w:numId="45" w16cid:durableId="2129279502">
    <w:abstractNumId w:val="1"/>
  </w:num>
  <w:num w:numId="46" w16cid:durableId="689642307">
    <w:abstractNumId w:val="0"/>
  </w:num>
  <w:num w:numId="47" w16cid:durableId="283316381">
    <w:abstractNumId w:val="8"/>
  </w:num>
  <w:num w:numId="48" w16cid:durableId="667514414">
    <w:abstractNumId w:val="3"/>
  </w:num>
  <w:num w:numId="49" w16cid:durableId="999625841">
    <w:abstractNumId w:val="2"/>
  </w:num>
  <w:num w:numId="50" w16cid:durableId="631595333">
    <w:abstractNumId w:val="1"/>
  </w:num>
  <w:num w:numId="51" w16cid:durableId="409087350">
    <w:abstractNumId w:val="0"/>
  </w:num>
  <w:num w:numId="52" w16cid:durableId="1417166918">
    <w:abstractNumId w:val="8"/>
  </w:num>
  <w:num w:numId="53" w16cid:durableId="1397167355">
    <w:abstractNumId w:val="3"/>
  </w:num>
  <w:num w:numId="54" w16cid:durableId="359428694">
    <w:abstractNumId w:val="2"/>
  </w:num>
  <w:num w:numId="55" w16cid:durableId="1877965538">
    <w:abstractNumId w:val="1"/>
  </w:num>
  <w:num w:numId="56" w16cid:durableId="1690907755">
    <w:abstractNumId w:val="0"/>
  </w:num>
  <w:num w:numId="57" w16cid:durableId="1847744294">
    <w:abstractNumId w:val="8"/>
  </w:num>
  <w:num w:numId="58" w16cid:durableId="625551729">
    <w:abstractNumId w:val="3"/>
  </w:num>
  <w:num w:numId="59" w16cid:durableId="80106395">
    <w:abstractNumId w:val="2"/>
  </w:num>
  <w:num w:numId="60" w16cid:durableId="680817095">
    <w:abstractNumId w:val="1"/>
  </w:num>
  <w:num w:numId="61" w16cid:durableId="1696883699">
    <w:abstractNumId w:val="0"/>
  </w:num>
  <w:num w:numId="62" w16cid:durableId="764963967">
    <w:abstractNumId w:val="8"/>
  </w:num>
  <w:num w:numId="63" w16cid:durableId="1771704117">
    <w:abstractNumId w:val="3"/>
  </w:num>
  <w:num w:numId="64" w16cid:durableId="1330250043">
    <w:abstractNumId w:val="2"/>
  </w:num>
  <w:num w:numId="65" w16cid:durableId="82340849">
    <w:abstractNumId w:val="1"/>
  </w:num>
  <w:num w:numId="66" w16cid:durableId="1166436873">
    <w:abstractNumId w:val="0"/>
  </w:num>
  <w:num w:numId="67" w16cid:durableId="1345087903">
    <w:abstractNumId w:val="8"/>
  </w:num>
  <w:num w:numId="68" w16cid:durableId="1290475426">
    <w:abstractNumId w:val="3"/>
  </w:num>
  <w:num w:numId="69" w16cid:durableId="121963508">
    <w:abstractNumId w:val="2"/>
  </w:num>
  <w:num w:numId="70" w16cid:durableId="1631592308">
    <w:abstractNumId w:val="1"/>
  </w:num>
  <w:num w:numId="71" w16cid:durableId="1701979659">
    <w:abstractNumId w:val="0"/>
  </w:num>
  <w:num w:numId="72" w16cid:durableId="688723813">
    <w:abstractNumId w:val="8"/>
  </w:num>
  <w:num w:numId="73" w16cid:durableId="513108775">
    <w:abstractNumId w:val="3"/>
  </w:num>
  <w:num w:numId="74" w16cid:durableId="504173735">
    <w:abstractNumId w:val="2"/>
  </w:num>
  <w:num w:numId="75" w16cid:durableId="25448909">
    <w:abstractNumId w:val="1"/>
  </w:num>
  <w:num w:numId="76" w16cid:durableId="601105827">
    <w:abstractNumId w:val="0"/>
  </w:num>
  <w:num w:numId="77" w16cid:durableId="58747902">
    <w:abstractNumId w:val="8"/>
  </w:num>
  <w:num w:numId="78" w16cid:durableId="1772125209">
    <w:abstractNumId w:val="3"/>
  </w:num>
  <w:num w:numId="79" w16cid:durableId="1947079673">
    <w:abstractNumId w:val="2"/>
  </w:num>
  <w:num w:numId="80" w16cid:durableId="124203876">
    <w:abstractNumId w:val="1"/>
  </w:num>
  <w:num w:numId="81" w16cid:durableId="535655405">
    <w:abstractNumId w:val="0"/>
  </w:num>
  <w:num w:numId="82" w16cid:durableId="1783576686">
    <w:abstractNumId w:val="8"/>
  </w:num>
  <w:num w:numId="83" w16cid:durableId="248467469">
    <w:abstractNumId w:val="3"/>
  </w:num>
  <w:num w:numId="84" w16cid:durableId="2092382446">
    <w:abstractNumId w:val="2"/>
  </w:num>
  <w:num w:numId="85" w16cid:durableId="1056666988">
    <w:abstractNumId w:val="1"/>
  </w:num>
  <w:num w:numId="86" w16cid:durableId="225652704">
    <w:abstractNumId w:val="0"/>
  </w:num>
  <w:num w:numId="87" w16cid:durableId="2050718763">
    <w:abstractNumId w:val="8"/>
  </w:num>
  <w:num w:numId="88" w16cid:durableId="143275641">
    <w:abstractNumId w:val="3"/>
  </w:num>
  <w:num w:numId="89" w16cid:durableId="725178082">
    <w:abstractNumId w:val="2"/>
  </w:num>
  <w:num w:numId="90" w16cid:durableId="362362474">
    <w:abstractNumId w:val="1"/>
  </w:num>
  <w:num w:numId="91" w16cid:durableId="1589969554">
    <w:abstractNumId w:val="0"/>
  </w:num>
  <w:num w:numId="92" w16cid:durableId="1769932609">
    <w:abstractNumId w:val="8"/>
  </w:num>
  <w:num w:numId="93" w16cid:durableId="309555984">
    <w:abstractNumId w:val="3"/>
  </w:num>
  <w:num w:numId="94" w16cid:durableId="1299144529">
    <w:abstractNumId w:val="2"/>
  </w:num>
  <w:num w:numId="95" w16cid:durableId="1175539660">
    <w:abstractNumId w:val="1"/>
  </w:num>
  <w:num w:numId="96" w16cid:durableId="389964036">
    <w:abstractNumId w:val="0"/>
  </w:num>
  <w:num w:numId="97" w16cid:durableId="208735691">
    <w:abstractNumId w:val="8"/>
  </w:num>
  <w:num w:numId="98" w16cid:durableId="1525972922">
    <w:abstractNumId w:val="3"/>
  </w:num>
  <w:num w:numId="99" w16cid:durableId="814568665">
    <w:abstractNumId w:val="2"/>
  </w:num>
  <w:num w:numId="100" w16cid:durableId="774911176">
    <w:abstractNumId w:val="1"/>
  </w:num>
  <w:num w:numId="101" w16cid:durableId="1796412552">
    <w:abstractNumId w:val="0"/>
  </w:num>
  <w:num w:numId="102" w16cid:durableId="889847875">
    <w:abstractNumId w:val="8"/>
  </w:num>
  <w:num w:numId="103" w16cid:durableId="114912344">
    <w:abstractNumId w:val="3"/>
  </w:num>
  <w:num w:numId="104" w16cid:durableId="1480876344">
    <w:abstractNumId w:val="2"/>
  </w:num>
  <w:num w:numId="105" w16cid:durableId="583076578">
    <w:abstractNumId w:val="1"/>
  </w:num>
  <w:num w:numId="106" w16cid:durableId="1874876203">
    <w:abstractNumId w:val="0"/>
  </w:num>
  <w:num w:numId="107" w16cid:durableId="1992560244">
    <w:abstractNumId w:val="8"/>
  </w:num>
  <w:num w:numId="108" w16cid:durableId="598025973">
    <w:abstractNumId w:val="3"/>
  </w:num>
  <w:num w:numId="109" w16cid:durableId="405107081">
    <w:abstractNumId w:val="2"/>
  </w:num>
  <w:num w:numId="110" w16cid:durableId="2025549233">
    <w:abstractNumId w:val="1"/>
  </w:num>
  <w:num w:numId="111" w16cid:durableId="1669216078">
    <w:abstractNumId w:val="0"/>
  </w:num>
  <w:num w:numId="112" w16cid:durableId="836770199">
    <w:abstractNumId w:val="8"/>
  </w:num>
  <w:num w:numId="113" w16cid:durableId="1622150131">
    <w:abstractNumId w:val="3"/>
  </w:num>
  <w:num w:numId="114" w16cid:durableId="1988823300">
    <w:abstractNumId w:val="2"/>
  </w:num>
  <w:num w:numId="115" w16cid:durableId="1082601273">
    <w:abstractNumId w:val="1"/>
  </w:num>
  <w:num w:numId="116" w16cid:durableId="1370178083">
    <w:abstractNumId w:val="0"/>
  </w:num>
  <w:num w:numId="117" w16cid:durableId="580679335">
    <w:abstractNumId w:val="8"/>
  </w:num>
  <w:num w:numId="118" w16cid:durableId="973103423">
    <w:abstractNumId w:val="3"/>
  </w:num>
  <w:num w:numId="119" w16cid:durableId="881861565">
    <w:abstractNumId w:val="2"/>
  </w:num>
  <w:num w:numId="120" w16cid:durableId="750736368">
    <w:abstractNumId w:val="1"/>
  </w:num>
  <w:num w:numId="121" w16cid:durableId="1373387839">
    <w:abstractNumId w:val="0"/>
  </w:num>
  <w:num w:numId="122" w16cid:durableId="907685908">
    <w:abstractNumId w:val="8"/>
  </w:num>
  <w:num w:numId="123" w16cid:durableId="620501486">
    <w:abstractNumId w:val="3"/>
  </w:num>
  <w:num w:numId="124" w16cid:durableId="446043719">
    <w:abstractNumId w:val="2"/>
  </w:num>
  <w:num w:numId="125" w16cid:durableId="1033771088">
    <w:abstractNumId w:val="1"/>
  </w:num>
  <w:num w:numId="126" w16cid:durableId="1235050304">
    <w:abstractNumId w:val="0"/>
  </w:num>
  <w:num w:numId="127" w16cid:durableId="199902741">
    <w:abstractNumId w:val="8"/>
  </w:num>
  <w:num w:numId="128" w16cid:durableId="1046371651">
    <w:abstractNumId w:val="3"/>
  </w:num>
  <w:num w:numId="129" w16cid:durableId="1445611969">
    <w:abstractNumId w:val="2"/>
  </w:num>
  <w:num w:numId="130" w16cid:durableId="1606494288">
    <w:abstractNumId w:val="1"/>
  </w:num>
  <w:num w:numId="131" w16cid:durableId="1125854417">
    <w:abstractNumId w:val="0"/>
  </w:num>
  <w:num w:numId="132" w16cid:durableId="1355302728">
    <w:abstractNumId w:val="8"/>
  </w:num>
  <w:num w:numId="133" w16cid:durableId="950279301">
    <w:abstractNumId w:val="3"/>
  </w:num>
  <w:num w:numId="134" w16cid:durableId="2051565447">
    <w:abstractNumId w:val="2"/>
  </w:num>
  <w:num w:numId="135" w16cid:durableId="696543370">
    <w:abstractNumId w:val="1"/>
  </w:num>
  <w:num w:numId="136" w16cid:durableId="1353845816">
    <w:abstractNumId w:val="0"/>
  </w:num>
  <w:num w:numId="137" w16cid:durableId="1129593015">
    <w:abstractNumId w:val="8"/>
  </w:num>
  <w:num w:numId="138" w16cid:durableId="1455372480">
    <w:abstractNumId w:val="3"/>
  </w:num>
  <w:num w:numId="139" w16cid:durableId="238489024">
    <w:abstractNumId w:val="2"/>
  </w:num>
  <w:num w:numId="140" w16cid:durableId="262349791">
    <w:abstractNumId w:val="1"/>
  </w:num>
  <w:num w:numId="141" w16cid:durableId="1150752914">
    <w:abstractNumId w:val="0"/>
  </w:num>
  <w:num w:numId="142" w16cid:durableId="1765178239">
    <w:abstractNumId w:val="8"/>
  </w:num>
  <w:num w:numId="143" w16cid:durableId="1032458695">
    <w:abstractNumId w:val="3"/>
  </w:num>
  <w:num w:numId="144" w16cid:durableId="1128166976">
    <w:abstractNumId w:val="2"/>
  </w:num>
  <w:num w:numId="145" w16cid:durableId="1894148799">
    <w:abstractNumId w:val="1"/>
  </w:num>
  <w:num w:numId="146" w16cid:durableId="1224215055">
    <w:abstractNumId w:val="0"/>
  </w:num>
  <w:num w:numId="147" w16cid:durableId="884097991">
    <w:abstractNumId w:val="8"/>
  </w:num>
  <w:num w:numId="148" w16cid:durableId="1658193880">
    <w:abstractNumId w:val="3"/>
  </w:num>
  <w:num w:numId="149" w16cid:durableId="264384023">
    <w:abstractNumId w:val="2"/>
  </w:num>
  <w:num w:numId="150" w16cid:durableId="2030640676">
    <w:abstractNumId w:val="1"/>
  </w:num>
  <w:num w:numId="151" w16cid:durableId="1764300915">
    <w:abstractNumId w:val="0"/>
  </w:num>
  <w:num w:numId="152" w16cid:durableId="274868847">
    <w:abstractNumId w:val="8"/>
  </w:num>
  <w:num w:numId="153" w16cid:durableId="1963725191">
    <w:abstractNumId w:val="3"/>
  </w:num>
  <w:num w:numId="154" w16cid:durableId="47382796">
    <w:abstractNumId w:val="2"/>
  </w:num>
  <w:num w:numId="155" w16cid:durableId="834803624">
    <w:abstractNumId w:val="1"/>
  </w:num>
  <w:num w:numId="156" w16cid:durableId="1907836433">
    <w:abstractNumId w:val="0"/>
  </w:num>
  <w:num w:numId="157" w16cid:durableId="335694466">
    <w:abstractNumId w:val="8"/>
  </w:num>
  <w:num w:numId="158" w16cid:durableId="1413353708">
    <w:abstractNumId w:val="3"/>
  </w:num>
  <w:num w:numId="159" w16cid:durableId="2017221835">
    <w:abstractNumId w:val="2"/>
  </w:num>
  <w:num w:numId="160" w16cid:durableId="2093504836">
    <w:abstractNumId w:val="1"/>
  </w:num>
  <w:num w:numId="161" w16cid:durableId="20983660">
    <w:abstractNumId w:val="0"/>
  </w:num>
  <w:num w:numId="162" w16cid:durableId="2130083049">
    <w:abstractNumId w:val="8"/>
  </w:num>
  <w:num w:numId="163" w16cid:durableId="2117209151">
    <w:abstractNumId w:val="3"/>
  </w:num>
  <w:num w:numId="164" w16cid:durableId="2133357024">
    <w:abstractNumId w:val="2"/>
  </w:num>
  <w:num w:numId="165" w16cid:durableId="859854129">
    <w:abstractNumId w:val="1"/>
  </w:num>
  <w:num w:numId="166" w16cid:durableId="2034574430">
    <w:abstractNumId w:val="0"/>
  </w:num>
  <w:num w:numId="167" w16cid:durableId="646860892">
    <w:abstractNumId w:val="10"/>
  </w:num>
  <w:num w:numId="168" w16cid:durableId="971208933">
    <w:abstractNumId w:val="11"/>
  </w:num>
  <w:num w:numId="169" w16cid:durableId="72363295">
    <w:abstractNumId w:val="11"/>
  </w:num>
  <w:num w:numId="170" w16cid:durableId="2135245380">
    <w:abstractNumId w:val="11"/>
  </w:num>
  <w:num w:numId="171" w16cid:durableId="620309437">
    <w:abstractNumId w:val="11"/>
  </w:num>
  <w:num w:numId="172" w16cid:durableId="13541867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60968705">
    <w:abstractNumId w:val="11"/>
  </w:num>
  <w:num w:numId="174" w16cid:durableId="2059547036">
    <w:abstractNumId w:val="11"/>
  </w:num>
  <w:num w:numId="175" w16cid:durableId="2058312679">
    <w:abstractNumId w:val="11"/>
  </w:num>
  <w:num w:numId="176" w16cid:durableId="535385818">
    <w:abstractNumId w:val="11"/>
  </w:num>
  <w:num w:numId="177" w16cid:durableId="1405686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8724" w:allStyles="0" w:customStyles="0" w:latentStyles="1" w:stylesInUse="0" w:headingStyles="1" w:numberingStyles="0" w:tableStyles="0" w:directFormattingOnRuns="1" w:directFormattingOnParagraphs="1" w:directFormattingOnNumbering="1" w:directFormattingOnTables="0" w:clearFormatting="0" w:top3HeadingStyles="0" w:visibleStyles="0" w:alternateStyleNames="1"/>
  <w:stylePaneSortMethod w:val="0002"/>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E7"/>
    <w:rsid w:val="000436E4"/>
    <w:rsid w:val="00082DC3"/>
    <w:rsid w:val="000A6B7E"/>
    <w:rsid w:val="00101CAE"/>
    <w:rsid w:val="002069BA"/>
    <w:rsid w:val="00241D4A"/>
    <w:rsid w:val="0027084E"/>
    <w:rsid w:val="002811B4"/>
    <w:rsid w:val="0035631B"/>
    <w:rsid w:val="0037382C"/>
    <w:rsid w:val="004133B4"/>
    <w:rsid w:val="004505D5"/>
    <w:rsid w:val="005926EF"/>
    <w:rsid w:val="005A056E"/>
    <w:rsid w:val="0061129A"/>
    <w:rsid w:val="00627FE4"/>
    <w:rsid w:val="00654138"/>
    <w:rsid w:val="00667CAE"/>
    <w:rsid w:val="007803D7"/>
    <w:rsid w:val="008245C2"/>
    <w:rsid w:val="008E4D7E"/>
    <w:rsid w:val="009257D8"/>
    <w:rsid w:val="009E0377"/>
    <w:rsid w:val="00A619A2"/>
    <w:rsid w:val="00BD4EC2"/>
    <w:rsid w:val="00BF5158"/>
    <w:rsid w:val="00C41EE7"/>
    <w:rsid w:val="00C46DD1"/>
    <w:rsid w:val="00C666BF"/>
    <w:rsid w:val="00D80582"/>
    <w:rsid w:val="00E054EE"/>
    <w:rsid w:val="00E05716"/>
    <w:rsid w:val="00EB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1376"/>
  <w15:docId w15:val="{3EBFBA60-F44B-4CA4-AAFD-5D9530B7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6EF"/>
  </w:style>
  <w:style w:type="paragraph" w:styleId="Heading1">
    <w:name w:val="heading 1"/>
    <w:basedOn w:val="Normal"/>
    <w:next w:val="BodyText"/>
    <w:link w:val="Heading1Char"/>
    <w:uiPriority w:val="9"/>
    <w:qFormat/>
    <w:rsid w:val="0061129A"/>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61129A"/>
    <w:pPr>
      <w:keepNext/>
      <w:keepLines/>
      <w:spacing w:before="160" w:after="80"/>
      <w:outlineLvl w:val="2"/>
    </w:pPr>
    <w:rPr>
      <w:rFonts w:ascii="Times New Roman" w:eastAsiaTheme="majorEastAsia" w:hAnsi="Times New Roman"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61129A"/>
    <w:pPr>
      <w:keepNext/>
      <w:keepLines/>
      <w:spacing w:before="80" w:after="40"/>
      <w:outlineLvl w:val="3"/>
    </w:pPr>
    <w:rPr>
      <w:rFonts w:ascii="Times New Roman" w:eastAsiaTheme="majorEastAsia" w:hAnsi="Times New Roman" w:cstheme="majorBidi"/>
      <w:i/>
      <w:iCs/>
      <w:color w:val="0F4761" w:themeColor="accent1" w:themeShade="BF"/>
    </w:rPr>
  </w:style>
  <w:style w:type="paragraph" w:styleId="Heading5">
    <w:name w:val="heading 5"/>
    <w:basedOn w:val="Normal"/>
    <w:next w:val="BodyText"/>
    <w:link w:val="Heading5Char"/>
    <w:uiPriority w:val="9"/>
    <w:semiHidden/>
    <w:unhideWhenUsed/>
    <w:qFormat/>
    <w:rsid w:val="0061129A"/>
    <w:pPr>
      <w:keepNext/>
      <w:keepLines/>
      <w:spacing w:before="80" w:after="40"/>
      <w:outlineLvl w:val="4"/>
    </w:pPr>
    <w:rPr>
      <w:rFonts w:ascii="Times New Roman" w:eastAsiaTheme="majorEastAsia" w:hAnsi="Times New Roman" w:cstheme="majorBidi"/>
      <w:color w:val="0F4761" w:themeColor="accent1" w:themeShade="BF"/>
    </w:rPr>
  </w:style>
  <w:style w:type="paragraph" w:styleId="Heading6">
    <w:name w:val="heading 6"/>
    <w:basedOn w:val="Normal"/>
    <w:next w:val="BodyText"/>
    <w:link w:val="Heading6Char"/>
    <w:uiPriority w:val="9"/>
    <w:semiHidden/>
    <w:unhideWhenUsed/>
    <w:qFormat/>
    <w:rsid w:val="0061129A"/>
    <w:pPr>
      <w:keepNext/>
      <w:keepLines/>
      <w:spacing w:before="40" w:after="0"/>
      <w:outlineLvl w:val="5"/>
    </w:pPr>
    <w:rPr>
      <w:rFonts w:ascii="Times New Roman" w:eastAsiaTheme="majorEastAsia" w:hAnsi="Times New Roman" w:cstheme="majorBidi"/>
      <w:i/>
      <w:iCs/>
      <w:color w:val="595959" w:themeColor="text1" w:themeTint="A6"/>
    </w:rPr>
  </w:style>
  <w:style w:type="paragraph" w:styleId="Heading7">
    <w:name w:val="heading 7"/>
    <w:basedOn w:val="Normal"/>
    <w:next w:val="BodyText"/>
    <w:link w:val="Heading7Char"/>
    <w:uiPriority w:val="9"/>
    <w:semiHidden/>
    <w:unhideWhenUsed/>
    <w:qFormat/>
    <w:rsid w:val="0061129A"/>
    <w:pPr>
      <w:keepNext/>
      <w:keepLines/>
      <w:spacing w:before="40" w:after="0"/>
      <w:outlineLvl w:val="6"/>
    </w:pPr>
    <w:rPr>
      <w:rFonts w:ascii="Times New Roman" w:eastAsiaTheme="majorEastAsia" w:hAnsi="Times New Roman" w:cstheme="majorBidi"/>
      <w:color w:val="595959" w:themeColor="text1" w:themeTint="A6"/>
    </w:rPr>
  </w:style>
  <w:style w:type="paragraph" w:styleId="Heading8">
    <w:name w:val="heading 8"/>
    <w:basedOn w:val="Normal"/>
    <w:next w:val="BodyText"/>
    <w:link w:val="Heading8Char"/>
    <w:uiPriority w:val="9"/>
    <w:semiHidden/>
    <w:unhideWhenUsed/>
    <w:qFormat/>
    <w:rsid w:val="0061129A"/>
    <w:pPr>
      <w:keepNext/>
      <w:keepLines/>
      <w:spacing w:after="0"/>
      <w:outlineLvl w:val="7"/>
    </w:pPr>
    <w:rPr>
      <w:rFonts w:ascii="Times New Roman" w:eastAsiaTheme="majorEastAsia" w:hAnsi="Times New Roman" w:cstheme="majorBidi"/>
      <w:i/>
      <w:iCs/>
      <w:color w:val="272727" w:themeColor="text1" w:themeTint="D8"/>
    </w:rPr>
  </w:style>
  <w:style w:type="paragraph" w:styleId="Heading9">
    <w:name w:val="heading 9"/>
    <w:basedOn w:val="Normal"/>
    <w:next w:val="BodyText"/>
    <w:link w:val="Heading9Char"/>
    <w:uiPriority w:val="9"/>
    <w:semiHidden/>
    <w:unhideWhenUsed/>
    <w:qFormat/>
    <w:rsid w:val="0061129A"/>
    <w:pPr>
      <w:keepNext/>
      <w:keepLines/>
      <w:spacing w:after="0"/>
      <w:outlineLvl w:val="8"/>
    </w:pPr>
    <w:rPr>
      <w:rFonts w:ascii="Times New Roman" w:eastAsiaTheme="majorEastAsia" w:hAnsi="Times New Roman"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8058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054EE"/>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054EE"/>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autoRedefine/>
    <w:qFormat/>
    <w:rsid w:val="00E05716"/>
    <w:pPr>
      <w:keepNext/>
      <w:keepLines/>
      <w:jc w:val="center"/>
    </w:pPr>
    <w:rPr>
      <w:rFonts w:ascii="Times New Roman" w:hAnsi="Times New Roman"/>
    </w:rPr>
  </w:style>
  <w:style w:type="paragraph" w:styleId="Date">
    <w:name w:val="Date"/>
    <w:next w:val="BodyText"/>
    <w:qFormat/>
    <w:rsid w:val="0061129A"/>
    <w:pPr>
      <w:keepNext/>
      <w:keepLines/>
      <w:jc w:val="center"/>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61129A"/>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1129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29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29A"/>
    <w:rPr>
      <w:rFonts w:ascii="Times New Roman" w:eastAsiaTheme="majorEastAsia" w:hAnsi="Times New Roman" w:cstheme="majorBidi"/>
      <w:i/>
      <w:iCs/>
      <w:color w:val="0F4761" w:themeColor="accent1" w:themeShade="BF"/>
    </w:rPr>
  </w:style>
  <w:style w:type="character" w:customStyle="1" w:styleId="Heading5Char">
    <w:name w:val="Heading 5 Char"/>
    <w:basedOn w:val="DefaultParagraphFont"/>
    <w:link w:val="Heading5"/>
    <w:uiPriority w:val="9"/>
    <w:semiHidden/>
    <w:rsid w:val="0061129A"/>
    <w:rPr>
      <w:rFonts w:ascii="Times New Roman" w:eastAsiaTheme="majorEastAsia" w:hAnsi="Times New Roman" w:cstheme="majorBidi"/>
      <w:color w:val="0F4761" w:themeColor="accent1" w:themeShade="BF"/>
    </w:rPr>
  </w:style>
  <w:style w:type="character" w:customStyle="1" w:styleId="Heading6Char">
    <w:name w:val="Heading 6 Char"/>
    <w:basedOn w:val="DefaultParagraphFont"/>
    <w:link w:val="Heading6"/>
    <w:uiPriority w:val="9"/>
    <w:semiHidden/>
    <w:rsid w:val="0061129A"/>
    <w:rPr>
      <w:rFonts w:ascii="Times New Roman" w:eastAsiaTheme="majorEastAsia" w:hAnsi="Times New Roman" w:cstheme="majorBidi"/>
      <w:i/>
      <w:iCs/>
      <w:color w:val="595959" w:themeColor="text1" w:themeTint="A6"/>
    </w:rPr>
  </w:style>
  <w:style w:type="character" w:customStyle="1" w:styleId="Heading7Char">
    <w:name w:val="Heading 7 Char"/>
    <w:basedOn w:val="DefaultParagraphFont"/>
    <w:link w:val="Heading7"/>
    <w:uiPriority w:val="9"/>
    <w:semiHidden/>
    <w:rsid w:val="0061129A"/>
    <w:rPr>
      <w:rFonts w:ascii="Times New Roman" w:eastAsiaTheme="majorEastAsia" w:hAnsi="Times New Roman" w:cstheme="majorBidi"/>
      <w:color w:val="595959" w:themeColor="text1" w:themeTint="A6"/>
    </w:rPr>
  </w:style>
  <w:style w:type="character" w:customStyle="1" w:styleId="Heading8Char">
    <w:name w:val="Heading 8 Char"/>
    <w:basedOn w:val="DefaultParagraphFont"/>
    <w:link w:val="Heading8"/>
    <w:uiPriority w:val="9"/>
    <w:semiHidden/>
    <w:rsid w:val="0061129A"/>
    <w:rPr>
      <w:rFonts w:ascii="Times New Roman" w:eastAsiaTheme="majorEastAsia" w:hAnsi="Times New Roman" w:cstheme="majorBidi"/>
      <w:i/>
      <w:iCs/>
      <w:color w:val="272727" w:themeColor="text1" w:themeTint="D8"/>
    </w:rPr>
  </w:style>
  <w:style w:type="character" w:customStyle="1" w:styleId="Heading9Char">
    <w:name w:val="Heading 9 Char"/>
    <w:basedOn w:val="DefaultParagraphFont"/>
    <w:link w:val="Heading9"/>
    <w:uiPriority w:val="9"/>
    <w:semiHidden/>
    <w:rsid w:val="0061129A"/>
    <w:rPr>
      <w:rFonts w:ascii="Times New Roman" w:eastAsiaTheme="majorEastAsia" w:hAnsi="Times New Roman"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069BA"/>
    <w:rPr>
      <w:rFonts w:ascii="Times New Roman" w:hAnsi="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C46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069BA"/>
    <w:pPr>
      <w:keepNext/>
      <w:keepLines/>
      <w:spacing w:after="0"/>
    </w:pPr>
    <w:rPr>
      <w:rFonts w:ascii="Times New Roman" w:hAnsi="Times New Roman"/>
      <w:b/>
    </w:rPr>
  </w:style>
  <w:style w:type="paragraph" w:customStyle="1" w:styleId="Definition">
    <w:name w:val="Definition"/>
    <w:basedOn w:val="Normal"/>
    <w:rsid w:val="002069BA"/>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69BA"/>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character" w:customStyle="1" w:styleId="BodyTextChar">
    <w:name w:val="Body Text Char"/>
    <w:basedOn w:val="DefaultParagraphFont"/>
    <w:link w:val="BodyText"/>
    <w:rsid w:val="005926EF"/>
    <w:rPr>
      <w:rFonts w:ascii="Times New Roman" w:hAnsi="Times New Roman"/>
    </w:rPr>
  </w:style>
  <w:style w:type="paragraph" w:customStyle="1" w:styleId="StyleHeading2TimesNewRoman">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F718-E69C-490F-A56C-351276CAD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cb cbx</dc:creator>
  <cp:keywords/>
  <cp:lastModifiedBy>cb cbx</cp:lastModifiedBy>
  <cp:revision>3</cp:revision>
  <dcterms:created xsi:type="dcterms:W3CDTF">2025-02-14T16:46:00Z</dcterms:created>
  <dcterms:modified xsi:type="dcterms:W3CDTF">2025-02-18T13:30:00Z</dcterms:modified>
</cp:coreProperties>
</file>