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2886"/>
        <w:gridCol w:w="2164"/>
        <w:gridCol w:w="2832"/>
      </w:tblGrid>
      <w:tr w14:paraId="354DDCF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138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69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8A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文献参考（赵珂 2022）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3C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文献参考（刘长儒 2024）</w:t>
            </w:r>
          </w:p>
        </w:tc>
      </w:tr>
      <w:tr w14:paraId="1FF43C4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65C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数据获取与预处理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1A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从摄像头 / 无人机获取图像，做透视校正、降噪、亮度优化等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EA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无人机航拍→透视校正→单面板图像；加权灰度化 + 优化中值滤波 + 优化灰度拉伸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34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无人机航拍→YOLOv8-obb→SAM 分割；HSV 空间提取 V 通道 + 归一化亮度</w:t>
            </w:r>
          </w:p>
        </w:tc>
      </w:tr>
      <w:tr w14:paraId="406C0B1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67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特征提取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62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提取能表征玻璃自爆的视觉特征（如裂纹纹理、亮度异常、结构胶状态等）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933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灰度直方图、HOG、GLCM（能量 / 熵 / 相关性）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F8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平均归一化亮度 V + 结构胶 K-means 聚类</w:t>
            </w:r>
          </w:p>
        </w:tc>
      </w:tr>
      <w:tr w14:paraId="02D8CC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FB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损伤边缘检测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0C7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定位玻璃表面的裂纹或异常区域边界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FB7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SUSAN + 区域分裂合并→二值掩膜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763D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无专门边缘算子；靠亮度 / 胶色异常定位</w:t>
            </w:r>
          </w:p>
        </w:tc>
      </w:tr>
      <w:tr w14:paraId="00E5FA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D7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分类与判定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B5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区分 “自爆”“热炸裂” 等类别，结合阈值判定风险等级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669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SVM（RBF 核）三分类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3F5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热炸裂分类；振动频率对比验证</w:t>
            </w:r>
          </w:p>
        </w:tc>
      </w:tr>
      <w:tr w14:paraId="701DF2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448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结果量化与封装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7EE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计算损伤面积 / 程度，封装成前端需要的</w:t>
            </w:r>
            <w:r>
              <w:rPr>
                <w:rStyle w:val="4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000000" w:sz="0" w:space="0"/>
                <w:lang w:val="en-US" w:eastAsia="zh-CN" w:bidi="ar"/>
              </w:rPr>
              <w:t>status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“warning”“error” 等结果格式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BC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像素占比→实际面积 mm²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75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仅输出面板编号；需补充量化逻辑</w:t>
            </w:r>
          </w:p>
        </w:tc>
      </w:tr>
    </w:tbl>
    <w:p w14:paraId="7FC885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6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2025-11-17T09:13:03Z</dcterms:created>
  <dc:creator>elain</dc:creator>
  <cp:lastModifiedBy>叶落零星宵</cp:lastModifiedBy>
  <dcterms:modified xsi:type="dcterms:W3CDTF">2025-11-17T10:21:45Z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eyJoZGlkIjoiY2FhMDQ2ZTdjOTNkYTJmMDI4Mzc4MDZjNWY2YTUwM2QiLCJ1c2VySWQiOiI0NjUzNDg2ODUifQ==</vt:lpwstr>
  </property>
  <property fmtid="{D5CDD505-2E9C-101B-9397-08002B2CF9AE}" pid="4" name="ICV">
    <vt:lpwstr>33270A8FBEB44BEDA78A376E75FE07CC_12</vt:lpwstr>
  </property>
</Properties>
</file>