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360" w:lineRule="auto"/>
        <w:jc w:val="center"/>
      </w:pPr>
      <w:r>
        <w:rPr>
          <w:rFonts w:ascii="黑体" w:hAnsi="黑体" w:eastAsia="黑体"/>
          <w:b/>
          <w:sz w:val="32"/>
        </w:rPr>
        <w:t>技术在场、服务缺席：数智养老服务中数字排斥的生成逻辑与治理路径</w:t>
      </w:r>
    </w:p>
    <w:p>
      <w:pPr>
        <w:spacing w:before="0" w:after="80" w:line="360" w:lineRule="auto"/>
        <w:jc w:val="center"/>
      </w:pPr>
      <w:r>
        <w:rPr>
          <w:rFonts w:ascii="宋体" w:hAnsi="宋体" w:eastAsia="宋体"/>
          <w:b w:val="0"/>
          <w:sz w:val="22"/>
        </w:rPr>
        <w:t>（作者姓名）</w:t>
      </w:r>
    </w:p>
    <w:p>
      <w:pPr>
        <w:spacing w:before="0" w:after="240" w:line="360" w:lineRule="auto"/>
        <w:jc w:val="center"/>
      </w:pPr>
      <w:r>
        <w:rPr>
          <w:rFonts w:ascii="宋体" w:hAnsi="宋体" w:eastAsia="宋体"/>
          <w:b w:val="0"/>
          <w:sz w:val="20"/>
        </w:rPr>
        <w:t>（作者单位，邮编）</w:t>
      </w:r>
    </w:p>
    <w:p>
      <w:pPr>
        <w:spacing w:before="160" w:after="80" w:line="360" w:lineRule="auto"/>
        <w:jc w:val="left"/>
      </w:pPr>
      <w:r>
        <w:rPr>
          <w:rFonts w:ascii="黑体" w:hAnsi="黑体" w:eastAsia="黑体"/>
          <w:b/>
          <w:sz w:val="24"/>
        </w:rPr>
        <w:t>摘  要</w:t>
      </w:r>
    </w:p>
    <w:p>
      <w:pPr>
        <w:spacing w:before="0" w:after="120" w:line="360" w:lineRule="auto"/>
        <w:ind w:firstLine="420"/>
      </w:pPr>
      <w:r>
        <w:rPr>
          <w:rFonts w:ascii="宋体" w:hAnsi="宋体" w:eastAsia="宋体"/>
          <w:b w:val="0"/>
          <w:sz w:val="21"/>
        </w:rPr>
        <w:t>人口老龄化与数智化转型的时空交汇，使养老服务领域面临"技术在场、服务缺席"的深层悖论——数智基础设施加速部署，但服务效能的公平分配远未实现。本文基于数智社会分层理论与TOE异化风险框架，构建"技术-组织-个体"三维整合分析模型，系统揭示数智养老服务中数字排斥的形态谱系与隐性生成机制。研究发现：数字排斥已超越传统"接入鸿沟"，呈现为算法权力分级、组织数据壁垒、个体能力错配叠加的"三重排斥"结构；其深层动力源自算法优绩主义、数字继承与算法规训三种隐性机制，使不平等从"可见的制度排斥"转向"技术遮蔽下的自我规训"。现有治理路径受制于"技术中心主义"惯性，表现为重技术部署轻包容设计、重效率提升轻权利保障、重市场激励轻公共价值的结构性偏差。本文提出"技术包容-组织协同-能力建设-制度保障"四维包容性治理框架，为超越"补救型"排斥治理、构建数字养老服务正义体系提供理论参考。</w:t>
      </w:r>
    </w:p>
    <w:p>
      <w:pPr>
        <w:spacing w:after="240" w:line="360" w:lineRule="auto"/>
      </w:pPr>
      <w:r>
        <w:rPr>
          <w:rFonts w:ascii="黑体" w:hAnsi="黑体" w:eastAsia="黑体"/>
          <w:b/>
          <w:sz w:val="21"/>
        </w:rPr>
        <w:t>关键词：</w:t>
      </w:r>
      <w:r>
        <w:rPr>
          <w:rFonts w:ascii="宋体" w:hAnsi="宋体" w:eastAsia="宋体"/>
          <w:sz w:val="21"/>
        </w:rPr>
        <w:t>数字排斥；数智养老；包容性治理；隐性再生产；算法权力；TOE框架</w:t>
      </w:r>
    </w:p>
    <w:p>
      <w:pPr>
        <w:spacing w:before="0" w:after="360" w:line="360" w:lineRule="auto"/>
      </w:pPr>
      <w:r>
        <w:rPr>
          <w:rFonts w:ascii="宋体" w:hAnsi="宋体" w:eastAsia="宋体"/>
          <w:b w:val="0"/>
          <w:sz w:val="21"/>
        </w:rPr>
        <w:t>中图分类号：C913.6   文献标识码：A</w:t>
      </w:r>
    </w:p>
    <w:p>
      <w:pPr>
        <w:spacing w:before="240" w:after="120" w:line="360" w:lineRule="auto"/>
        <w:jc w:val="left"/>
      </w:pPr>
      <w:r>
        <w:rPr>
          <w:rFonts w:ascii="黑体" w:hAnsi="黑体" w:eastAsia="黑体"/>
          <w:b/>
          <w:sz w:val="24"/>
        </w:rPr>
        <w:t>一、引言</w:t>
      </w:r>
    </w:p>
    <w:p>
      <w:pPr>
        <w:spacing w:before="160" w:after="80" w:line="360" w:lineRule="auto"/>
        <w:jc w:val="left"/>
      </w:pPr>
      <w:r>
        <w:rPr>
          <w:rFonts w:ascii="黑体" w:hAnsi="黑体" w:eastAsia="黑体"/>
          <w:b/>
          <w:sz w:val="22"/>
        </w:rPr>
        <w:t>（一）问题的提出</w:t>
      </w:r>
    </w:p>
    <w:p>
      <w:pPr>
        <w:spacing w:before="0" w:after="80" w:line="360" w:lineRule="auto"/>
        <w:ind w:firstLine="420"/>
      </w:pPr>
      <w:r>
        <w:rPr>
          <w:rFonts w:ascii="宋体" w:hAnsi="宋体" w:eastAsia="宋体"/>
          <w:b w:val="0"/>
          <w:sz w:val="21"/>
        </w:rPr>
        <w:t>2025年，中国60岁以上人口已达3.1亿，占总人口的22%，正式进入中度老龄化社会（青连斌等，2026）。与此同时，以人工智能、大数据、物联网为代表的数智技术正在以前所未有的深度嵌入养老服务全链条——从智能监测手环到社区智慧养老平台，从AI辅助护理评估到远程医疗问诊，数智化被寄予解决养老服务供给侧结构性矛盾的厚望。国家层面密集出台《"十四五"国家老龄事业发展和养老服务体系规划》《智慧健康养老产业发展行动计划》等政策文件，推动养老服务数智化转型成为积极应对人口老龄化的核心战略。</w:t>
      </w:r>
    </w:p>
    <w:p>
      <w:pPr>
        <w:spacing w:before="0" w:after="80" w:line="360" w:lineRule="auto"/>
        <w:ind w:firstLine="420"/>
      </w:pPr>
      <w:r>
        <w:rPr>
          <w:rFonts w:ascii="宋体" w:hAnsi="宋体" w:eastAsia="宋体"/>
          <w:b w:val="0"/>
          <w:sz w:val="21"/>
        </w:rPr>
        <w:t>然而，数智化转型的实际成效呈现出一个令人困惑的悖论：技术基础设施加速部署，但服务效能的公平分配远未实现。一方面，智慧养老试点项目遍地开花，设备渗透率和平台覆盖率持续攀升；另一方面，大量老年人并未从数智化中实质性受益，反而甚至面临更加隐蔽的服务壁垒。许小玲和张高荣（2025）将此概括为"技术在场、服务缺席"——数智技术的在场并未自动转化为服务效能，反而可能制造"数字悬浮"与"工具理性僭越"等新风险。</w:t>
      </w:r>
    </w:p>
    <w:p>
      <w:pPr>
        <w:spacing w:before="0" w:after="120" w:line="360" w:lineRule="auto"/>
        <w:ind w:firstLine="420"/>
      </w:pPr>
      <w:r>
        <w:rPr>
          <w:rFonts w:ascii="宋体" w:hAnsi="宋体" w:eastAsia="宋体"/>
          <w:b w:val="0"/>
          <w:sz w:val="21"/>
        </w:rPr>
        <w:t>这一悖论指向一个紧迫的学术追问：数智养老服务中，究竟哪些群体被排斥？排斥如何生成？如何走向包容性治理？回答这些问题，不仅关乎养老服务数智化转型的社会正义基础，也关乎积极老龄化国家战略能否真正惠及全体老年人。</w:t>
      </w:r>
    </w:p>
    <w:p>
      <w:pPr>
        <w:spacing w:before="160" w:after="80" w:line="360" w:lineRule="auto"/>
        <w:jc w:val="left"/>
      </w:pPr>
      <w:r>
        <w:rPr>
          <w:rFonts w:ascii="黑体" w:hAnsi="黑体" w:eastAsia="黑体"/>
          <w:b/>
          <w:sz w:val="22"/>
        </w:rPr>
        <w:t>（二）文献回顾与研究缺口</w:t>
      </w:r>
    </w:p>
    <w:p>
      <w:pPr>
        <w:spacing w:before="0" w:after="80" w:line="360" w:lineRule="auto"/>
        <w:ind w:firstLine="420"/>
      </w:pPr>
      <w:r>
        <w:rPr>
          <w:rFonts w:ascii="宋体" w:hAnsi="宋体" w:eastAsia="宋体"/>
          <w:b w:val="0"/>
          <w:sz w:val="21"/>
        </w:rPr>
        <w:t>现有研究从三个视角切入这一议题：</w:t>
      </w:r>
    </w:p>
    <w:p>
      <w:pPr>
        <w:spacing w:before="0" w:after="80" w:line="360" w:lineRule="auto"/>
        <w:ind w:firstLine="420"/>
      </w:pPr>
      <w:r>
        <w:rPr>
          <w:rFonts w:ascii="宋体" w:hAnsi="宋体" w:eastAsia="宋体"/>
          <w:b w:val="0"/>
          <w:sz w:val="21"/>
        </w:rPr>
        <w:t>第一，"赋能"视角——关注数智技术如何提升养老服务效率与质量。研究指出，智慧养老平台可显著缩短服务响应时间（内蒙古金穗社区"183"模式将响应时间缩至8.6分钟，应急处置率提高75%）（李漠颖，2026）；AI辅助评估与智能监测可提升慢性病管理精准度42%。这类研究以"技术供给"为出发点，强调数智化的正向功能。</w:t>
      </w:r>
    </w:p>
    <w:p>
      <w:pPr>
        <w:spacing w:before="0" w:after="80" w:line="360" w:lineRule="auto"/>
        <w:ind w:firstLine="420"/>
      </w:pPr>
      <w:r>
        <w:rPr>
          <w:rFonts w:ascii="宋体" w:hAnsi="宋体" w:eastAsia="宋体"/>
          <w:b w:val="0"/>
          <w:sz w:val="21"/>
        </w:rPr>
        <w:t>第二，"鸿沟"视角——关注老年人群体在数字技术使用中的差异。经典"数字鸿沟"研究从接入（一级）、使用（二级）、受益（三级）三个层次逐步深化（Van Dijk，2020），揭示年龄、教育、收入对数字技术使用的显著影响。曹科岩和方之瑜（2026）的实证研究发现，深圳养老服务人员的智能设备操作率普遍低于40%，内分泌疾病照护中会用血糖仪的护理员仅25.6%。但这一视角多聚焦于个体层面的能力差异，对技术系统本身的排斥效应关注不足。</w:t>
      </w:r>
    </w:p>
    <w:p>
      <w:pPr>
        <w:spacing w:before="0" w:after="80" w:line="360" w:lineRule="auto"/>
        <w:ind w:firstLine="420"/>
      </w:pPr>
      <w:r>
        <w:rPr>
          <w:rFonts w:ascii="宋体" w:hAnsi="宋体" w:eastAsia="宋体"/>
          <w:b w:val="0"/>
          <w:sz w:val="21"/>
        </w:rPr>
        <w:t>第三，"批判"视角——关注数智化的异化风险与社会分层效应。贾小双和梁玉成（2025）系统提出"数智时代社会分层的新维度"框架，指出算法权力正在成为独立于经济资本和政治权力的新型分层资源，通过算法优绩主义、数字继承和算法规训三种机制，形成"技术遮蔽下的隐性再生产"。许小玲和张高荣（2025）基于TOE框架分析了数智技术在社会救助领域的四类异化风险，包括数字排斥、工具理性僭越、权责模糊和组织失灵。</w:t>
      </w:r>
    </w:p>
    <w:p>
      <w:pPr>
        <w:spacing w:before="0" w:after="120" w:line="360" w:lineRule="auto"/>
        <w:ind w:firstLine="420"/>
      </w:pPr>
      <w:r>
        <w:rPr>
          <w:rFonts w:ascii="宋体" w:hAnsi="宋体" w:eastAsia="宋体"/>
          <w:b w:val="0"/>
          <w:sz w:val="21"/>
        </w:rPr>
        <w:t>研究缺口在于：（1）赋能视角与批判视角相对隔离，缺乏将两者置于统一分析框架的理论尝试；（2）数字鸿沟与数字排斥研究偏重个体因素，对技术-组织-制度层面的排斥机制挖掘不足；（3）养老服务场景具有特殊性——老年人不是同质群体，高龄/失能/低学历/农村/民族地区老年人的数字排斥形态与机制有显著差异，但现有研究对此关注不够。</w:t>
      </w:r>
    </w:p>
    <w:p>
      <w:pPr>
        <w:spacing w:before="160" w:after="80" w:line="360" w:lineRule="auto"/>
        <w:jc w:val="left"/>
      </w:pPr>
      <w:r>
        <w:rPr>
          <w:rFonts w:ascii="黑体" w:hAnsi="黑体" w:eastAsia="黑体"/>
          <w:b/>
          <w:sz w:val="22"/>
        </w:rPr>
        <w:t>（三）研究问题与贡献</w:t>
      </w:r>
    </w:p>
    <w:p>
      <w:pPr>
        <w:spacing w:before="0" w:after="80" w:line="360" w:lineRule="auto"/>
        <w:ind w:firstLine="420"/>
      </w:pPr>
      <w:r>
        <w:rPr>
          <w:rFonts w:ascii="宋体" w:hAnsi="宋体" w:eastAsia="宋体"/>
          <w:b w:val="0"/>
          <w:sz w:val="21"/>
        </w:rPr>
        <w:t>本文提出三个层次的研究问题：（1）数智养老服务中数字排斥呈现哪些形态？——类型学分析；（2）数字排斥的深层生成机制是什么？——机制分析；（3）如何从"补救型"走向"包容型"治理？——路径分析。</w:t>
      </w:r>
    </w:p>
    <w:p>
      <w:pPr>
        <w:spacing w:before="0" w:after="120" w:line="360" w:lineRule="auto"/>
        <w:ind w:firstLine="420"/>
      </w:pPr>
      <w:r>
        <w:rPr>
          <w:rFonts w:ascii="宋体" w:hAnsi="宋体" w:eastAsia="宋体"/>
          <w:b w:val="0"/>
          <w:sz w:val="21"/>
        </w:rPr>
        <w:t>理论贡献在于：将数智社会分层理论引入养老服务研究，揭示数字排斥的"隐性再生产"特征，拓展了"数字鸿沟"研究的理论视野。实践贡献在于：构建"技术包容-组织协同-能力建设-制度保障"四维治理框架，为政策设计提供操作性参考。</w:t>
      </w:r>
    </w:p>
    <w:p>
      <w:pPr>
        <w:spacing w:before="240" w:after="120" w:line="360" w:lineRule="auto"/>
        <w:jc w:val="left"/>
      </w:pPr>
      <w:r>
        <w:rPr>
          <w:rFonts w:ascii="黑体" w:hAnsi="黑体" w:eastAsia="黑体"/>
          <w:b/>
          <w:sz w:val="24"/>
        </w:rPr>
        <w:t>二、理论基础与分析框架</w:t>
      </w:r>
    </w:p>
    <w:p>
      <w:pPr>
        <w:spacing w:before="160" w:after="80" w:line="360" w:lineRule="auto"/>
        <w:jc w:val="left"/>
      </w:pPr>
      <w:r>
        <w:rPr>
          <w:rFonts w:ascii="黑体" w:hAnsi="黑体" w:eastAsia="黑体"/>
          <w:b/>
          <w:sz w:val="22"/>
        </w:rPr>
        <w:t>（一）核心理论资源</w:t>
      </w:r>
    </w:p>
    <w:p>
      <w:pPr>
        <w:spacing w:before="0" w:after="40" w:line="360" w:lineRule="auto"/>
        <w:ind w:firstLine="420"/>
      </w:pPr>
      <w:r>
        <w:rPr>
          <w:rFonts w:ascii="宋体" w:hAnsi="宋体" w:eastAsia="宋体"/>
          <w:b w:val="0"/>
          <w:sz w:val="21"/>
        </w:rPr>
        <w:t>1. 数智社会分层理论与"隐性再生产"</w:t>
      </w:r>
    </w:p>
    <w:p>
      <w:pPr>
        <w:spacing w:before="0" w:after="80" w:line="360" w:lineRule="auto"/>
        <w:ind w:firstLine="420"/>
      </w:pPr>
      <w:r>
        <w:rPr>
          <w:rFonts w:ascii="宋体" w:hAnsi="宋体" w:eastAsia="宋体"/>
          <w:b w:val="0"/>
          <w:sz w:val="21"/>
        </w:rPr>
        <w:t>贾小双和梁玉成（2025）构建了"结构-投入-结果"整合性分析框架，系统刻画了数智时代社会分层资源的系统性变迁。该框架的核心洞见有三：其一，分层资源的数字化变迁。经济资源数字化为数据资本，集中于少数头部平台企业；政治资源转化为算法权力——"代码即法律"，算法通过行为分级和人群分类重塑生活机会分配逻辑；人力资本从文凭资本跃迁为数字素养乃至AI商数；文化资本从"精英认证"转向"注意力变现"。其二，三层数字阶层结构。上层——算法权力精英；中层——技术专家阶层；底层——被算法化的公众（分化为"数字中产"和"赛博无产者"）。其三，三种隐性再生产机制——算法优绩主义、数字继承和算法规训。</w:t>
      </w:r>
    </w:p>
    <w:p>
      <w:pPr>
        <w:spacing w:before="0" w:after="40" w:line="360" w:lineRule="auto"/>
        <w:ind w:firstLine="420"/>
      </w:pPr>
      <w:r>
        <w:rPr>
          <w:rFonts w:ascii="宋体" w:hAnsi="宋体" w:eastAsia="宋体"/>
          <w:b w:val="0"/>
          <w:sz w:val="21"/>
        </w:rPr>
        <w:t>2. TOE框架与异化风险分析</w:t>
      </w:r>
    </w:p>
    <w:p>
      <w:pPr>
        <w:spacing w:before="0" w:after="80" w:line="360" w:lineRule="auto"/>
        <w:ind w:firstLine="420"/>
      </w:pPr>
      <w:r>
        <w:rPr>
          <w:rFonts w:ascii="宋体" w:hAnsi="宋体" w:eastAsia="宋体"/>
          <w:b w:val="0"/>
          <w:sz w:val="21"/>
        </w:rPr>
        <w:t>许小玲和张高荣（2025）基于TOE（技术-组织-环境）框架分析数智技术在公共服务领域的异化风险，提出了"四类异化风险"分类：（1）数字排斥——"沉默少数人"被排除在数字服务之外；（2）工具理性僭越——技术效率逻辑压倒服务正义等公共价值；（3）权责模糊——算法"黑箱"导致责任链条断裂；（4）组织失灵——部门碎片化使协同治理难以落地。该框架将数字排斥的根源从个体层面的"数字素养不足"扩展至技术系统设计、组织制度安排等多维因素。</w:t>
      </w:r>
    </w:p>
    <w:p>
      <w:pPr>
        <w:spacing w:before="0" w:after="40" w:line="360" w:lineRule="auto"/>
        <w:ind w:firstLine="420"/>
      </w:pPr>
      <w:r>
        <w:rPr>
          <w:rFonts w:ascii="宋体" w:hAnsi="宋体" w:eastAsia="宋体"/>
          <w:b w:val="0"/>
          <w:sz w:val="21"/>
        </w:rPr>
        <w:t>3. 积极老龄化与数字包容</w:t>
      </w:r>
    </w:p>
    <w:p>
      <w:pPr>
        <w:spacing w:before="0" w:after="120" w:line="360" w:lineRule="auto"/>
        <w:ind w:firstLine="420"/>
      </w:pPr>
      <w:r>
        <w:rPr>
          <w:rFonts w:ascii="宋体" w:hAnsi="宋体" w:eastAsia="宋体"/>
          <w:b w:val="0"/>
          <w:sz w:val="21"/>
        </w:rPr>
        <w:t>青连斌等（2026）提出"老有所为"的中国特色概念，分析数字技术对老年人的"赋能-排斥"双重效应。其核心观点是：数字技术拓展了老年人社会参与的时空边界，同时也使高龄/低学历/农村老年人面临更大的数字鸿沟。"数字包容"不是技术问题，而是涉及价值选择、制度设计和权利保障的综合性治理议题。</w:t>
      </w:r>
    </w:p>
    <w:p>
      <w:pPr>
        <w:spacing w:before="160" w:after="80" w:line="360" w:lineRule="auto"/>
        <w:jc w:val="left"/>
      </w:pPr>
      <w:r>
        <w:rPr>
          <w:rFonts w:ascii="黑体" w:hAnsi="黑体" w:eastAsia="黑体"/>
          <w:b/>
          <w:sz w:val="22"/>
        </w:rPr>
        <w:t>（二）整合分析框架</w:t>
      </w:r>
    </w:p>
    <w:p>
      <w:pPr>
        <w:spacing w:before="0" w:after="120" w:line="360" w:lineRule="auto"/>
        <w:ind w:firstLine="420"/>
      </w:pPr>
      <w:r>
        <w:rPr>
          <w:rFonts w:ascii="宋体" w:hAnsi="宋体" w:eastAsia="宋体"/>
          <w:b w:val="0"/>
          <w:sz w:val="21"/>
        </w:rPr>
        <w:t>综合上述理论资源，本文构建一个"三个层面×三种机制"的整合分析框架。该框架的核心主张是：数智养老服务中的数字排斥已超越传统"接入鸿沟"，转向一种"技术遮蔽下的隐性排斥"。传统数字鸿沟研究关注的是"能不能用"的问题，而隐性排斥关注的是"被不被看见"的问题——当你不会使用智能设备时，你就从养老服务系统的"视域"中消失，成为"沉默的少数"（许小玲 &amp; 张高荣，2025）。这种排斥的隐蔽性在于：它以技术"客观中立"的面目出现，使被排斥者将排斥归因于自身能力的不足而非系统设计的不公（算法规训机制），从而丧失了批判和抵抗的认知基础。</w:t>
      </w:r>
    </w:p>
    <w:p>
      <w:pPr>
        <w:spacing w:before="240" w:after="120" w:line="360" w:lineRule="auto"/>
        <w:jc w:val="left"/>
      </w:pPr>
      <w:r>
        <w:rPr>
          <w:rFonts w:ascii="黑体" w:hAnsi="黑体" w:eastAsia="黑体"/>
          <w:b/>
          <w:sz w:val="24"/>
        </w:rPr>
        <w:t>三、数字排斥的类型学分析：三维排斥形态</w:t>
      </w:r>
    </w:p>
    <w:p>
      <w:pPr>
        <w:spacing w:before="160" w:after="80" w:line="360" w:lineRule="auto"/>
        <w:jc w:val="left"/>
      </w:pPr>
      <w:r>
        <w:rPr>
          <w:rFonts w:ascii="黑体" w:hAnsi="黑体" w:eastAsia="黑体"/>
          <w:b/>
          <w:sz w:val="22"/>
        </w:rPr>
        <w:t>（一）技术维度的排斥：算法权力与适老化困境</w:t>
      </w:r>
    </w:p>
    <w:p>
      <w:pPr>
        <w:spacing w:before="0" w:after="40" w:line="360" w:lineRule="auto"/>
        <w:ind w:firstLine="420"/>
      </w:pPr>
      <w:r>
        <w:rPr>
          <w:rFonts w:ascii="宋体" w:hAnsi="宋体" w:eastAsia="宋体"/>
          <w:b w:val="0"/>
          <w:sz w:val="21"/>
        </w:rPr>
        <w:t>技术系统并非中性的服务传递通道，其设计逻辑本身就内置了排斥机制。</w:t>
      </w:r>
    </w:p>
    <w:p>
      <w:pPr>
        <w:spacing w:before="0" w:after="80" w:line="360" w:lineRule="auto"/>
        <w:ind w:firstLine="420"/>
      </w:pPr>
      <w:r>
        <w:rPr>
          <w:rFonts w:ascii="宋体" w:hAnsi="宋体" w:eastAsia="宋体"/>
          <w:b w:val="0"/>
          <w:sz w:val="21"/>
        </w:rPr>
        <w:t>第一，算法行为分级与资源配置不均。智慧养老平台普遍采用算法对老年人进行需求评估和服务分级。表面上看，这是"精准匹配"的体现，但实际上，算法的训练数据和分类标准天然偏向"可数字化"的需求——能产生数据的行为（运动步数、心率监测、用药记录）被优先识别，而无法被量化的需求（情感陪伴、尊严维护、文化偏好）则被系统性地降级。贾小双和梁玉成（2025）指出，算法通过"行为分级"和"人群分类"重塑了生活机会分配逻辑。</w:t>
      </w:r>
    </w:p>
    <w:p>
      <w:pPr>
        <w:spacing w:before="0" w:after="80" w:line="360" w:lineRule="auto"/>
        <w:ind w:firstLine="420"/>
      </w:pPr>
      <w:r>
        <w:rPr>
          <w:rFonts w:ascii="宋体" w:hAnsi="宋体" w:eastAsia="宋体"/>
          <w:b w:val="0"/>
          <w:sz w:val="21"/>
        </w:rPr>
        <w:t>第二，适老化设计的"表面化"困境。当前智慧养老终端的适老化改造多停留于"大字版""大图标"等浅层适配，缺乏对老年人认知特征、使用习惯和文化背景的深度理解。以民族地区为例，李漠颖（2026）研究显示，内蒙古老年人期望智能设备提供蒙语版本界面，但当前绝大多数平台的"适老化改造"仅是放大字体，完全未考虑少数民族语言需求。这揭示了一个关键问题：适老化设计如果不考虑群体的异质性，本身就是一种排斥——它预设了"老年人"是同质的、以汉语为母语的城市中产群体。</w:t>
      </w:r>
    </w:p>
    <w:p>
      <w:pPr>
        <w:spacing w:before="0" w:after="120" w:line="360" w:lineRule="auto"/>
        <w:ind w:firstLine="420"/>
      </w:pPr>
      <w:r>
        <w:rPr>
          <w:rFonts w:ascii="宋体" w:hAnsi="宋体" w:eastAsia="宋体"/>
          <w:b w:val="0"/>
          <w:sz w:val="21"/>
        </w:rPr>
        <w:t>第三，"语义对齐"偏差与模型幻觉风险。张福磊（2026）从城市治理大模型的角度指出，人工智能系统在将物理世界现象"转译"为数字空间信号时，存在"语义对齐"的根本性困难——行政话语体系与技术编码体系之间并非一一映射，偏差不可避免。在养老服务场景中，这一偏差可能表现为：智能系统将老年人的"情绪低落"错误归类为"健康指标异常"，将"文化偏好"误判为"无理需求"，导致服务响应失当，进而使老年人对智能系统失去信任，主动退出数字服务体系。</w:t>
      </w:r>
    </w:p>
    <w:p>
      <w:pPr>
        <w:spacing w:before="160" w:after="80" w:line="360" w:lineRule="auto"/>
        <w:jc w:val="left"/>
      </w:pPr>
      <w:r>
        <w:rPr>
          <w:rFonts w:ascii="黑体" w:hAnsi="黑体" w:eastAsia="黑体"/>
          <w:b/>
          <w:sz w:val="22"/>
        </w:rPr>
        <w:t>（二）组织维度的排斥：数据壁垒与制度刚性</w:t>
      </w:r>
    </w:p>
    <w:p>
      <w:pPr>
        <w:spacing w:before="0" w:after="40" w:line="360" w:lineRule="auto"/>
        <w:ind w:firstLine="420"/>
      </w:pPr>
      <w:r>
        <w:rPr>
          <w:rFonts w:ascii="宋体" w:hAnsi="宋体" w:eastAsia="宋体"/>
          <w:b w:val="0"/>
          <w:sz w:val="21"/>
        </w:rPr>
        <w:t>组织层面的排斥源于制度安排与组织流程的"锁定效应"——既有的部门分割、层级壁垒和考核机制与数智化要求之间存在系统性的不匹配。</w:t>
      </w:r>
    </w:p>
    <w:p>
      <w:pPr>
        <w:spacing w:before="0" w:after="80" w:line="360" w:lineRule="auto"/>
        <w:ind w:firstLine="420"/>
      </w:pPr>
      <w:r>
        <w:rPr>
          <w:rFonts w:ascii="宋体" w:hAnsi="宋体" w:eastAsia="宋体"/>
          <w:b w:val="0"/>
          <w:sz w:val="21"/>
        </w:rPr>
        <w:t>第一，数据壁垒导致"技术在场、服务缺席"。李漠颖（2026）对内蒙古金穗社区"183"模式的实证研究揭示了一个关键数据：跨系统数据互通率仅为23.8%，73.4%的机构仍使用独立数据库。这意味着——尽管智慧养老平台上显示"所有老人已被覆盖"，但健康档案、医保数据、社区服务记录之间互不相通，所谓的"精准服务"实际上是在信息碎片化基础上的盲目投放。</w:t>
      </w:r>
    </w:p>
    <w:p>
      <w:pPr>
        <w:spacing w:before="0" w:after="120" w:line="360" w:lineRule="auto"/>
        <w:ind w:firstLine="420"/>
      </w:pPr>
      <w:r>
        <w:rPr>
          <w:rFonts w:ascii="宋体" w:hAnsi="宋体" w:eastAsia="宋体"/>
          <w:b w:val="0"/>
          <w:sz w:val="21"/>
        </w:rPr>
        <w:t>第二，政策"刚性标准"与基层执行的张力。曹科岩和方之瑜（2026）的研究表明，养老护理员"3年企业工作经历"等"一刀切"的刚性标准，忽视了不同专业对实践需求的差异。在数智化背景下，智慧养老要求的人才能力是动态更新的（如AI辅助工具的操作每周都有新版本），但政策标准往往以"静态门槛"形式出现，无法适应技术迭代的速度。</w:t>
      </w:r>
    </w:p>
    <w:p>
      <w:pPr>
        <w:spacing w:before="160" w:after="80" w:line="360" w:lineRule="auto"/>
        <w:jc w:val="left"/>
      </w:pPr>
      <w:r>
        <w:rPr>
          <w:rFonts w:ascii="黑体" w:hAnsi="黑体" w:eastAsia="黑体"/>
          <w:b/>
          <w:sz w:val="22"/>
        </w:rPr>
        <w:t>（三）个体维度的排斥：能力鸿沟与代际分化</w:t>
      </w:r>
    </w:p>
    <w:p>
      <w:pPr>
        <w:spacing w:before="0" w:after="40" w:line="360" w:lineRule="auto"/>
        <w:ind w:firstLine="420"/>
      </w:pPr>
      <w:r>
        <w:rPr>
          <w:rFonts w:ascii="宋体" w:hAnsi="宋体" w:eastAsia="宋体"/>
          <w:b w:val="0"/>
          <w:sz w:val="21"/>
        </w:rPr>
        <w:t>个体层面的排斥是最直观的，也是现有研究着力最多的维度，但其深层结构——数字优势的代际传递与阶层固化——揭示的问题比表面看到的更为严峻。</w:t>
      </w:r>
    </w:p>
    <w:p>
      <w:pPr>
        <w:spacing w:before="0" w:after="80" w:line="360" w:lineRule="auto"/>
        <w:ind w:firstLine="420"/>
      </w:pPr>
      <w:r>
        <w:rPr>
          <w:rFonts w:ascii="宋体" w:hAnsi="宋体" w:eastAsia="宋体"/>
          <w:b w:val="0"/>
          <w:sz w:val="21"/>
        </w:rPr>
        <w:t>第一，"双重短缺"的人才困境。曹科岩和方之瑜（2026）提供了两个极具冲击力的数据：2050年养老护理员缺口达94%（需1600万/仅100万）；当前在岗护理员的智能设备操作率普遍低于40%（血糖仪25.6%、智能如厕设备38.9%）。在岗护工的结构特征是"三高两低"：女性86.2%、40岁以上81.6%、高中以下78.1%。这揭示了一个恶性循环：低薪→低素质劳动力→低数字素养→低服务质量→低行业吸引力→低薪。</w:t>
      </w:r>
    </w:p>
    <w:p>
      <w:pPr>
        <w:spacing w:before="0" w:after="120" w:line="360" w:lineRule="auto"/>
        <w:ind w:firstLine="420"/>
      </w:pPr>
      <w:r>
        <w:rPr>
          <w:rFonts w:ascii="宋体" w:hAnsi="宋体" w:eastAsia="宋体"/>
          <w:b w:val="0"/>
          <w:sz w:val="21"/>
        </w:rPr>
        <w:t>第二，AIQ分化与"数字继承"效应。贾小双和梁玉成（2025）提出的"数字继承"概念揭示了个体能力差异的阶层根源：数字素养不是个体孤立习得的技能，而是家庭数字资源禀赋的代际传递结果。城市中产家庭的老年人，其子女不仅能够提供经济支持购买智能设备，更能通过"家庭数字化协同教养"帮助老人掌握使用技能；而农村留守老人的子女本身可能处于数字底层，无力提供这种"数字反哺"。</w:t>
      </w:r>
    </w:p>
    <w:p>
      <w:pPr>
        <w:spacing w:before="240" w:after="120" w:line="360" w:lineRule="auto"/>
        <w:jc w:val="left"/>
      </w:pPr>
      <w:r>
        <w:rPr>
          <w:rFonts w:ascii="黑体" w:hAnsi="黑体" w:eastAsia="黑体"/>
          <w:b/>
          <w:sz w:val="24"/>
        </w:rPr>
        <w:t>四、隐性排斥的生成机制：从"制度排斥"到"技术遮蔽"</w:t>
      </w:r>
    </w:p>
    <w:p>
      <w:pPr>
        <w:spacing w:before="0" w:after="120" w:line="360" w:lineRule="auto"/>
        <w:ind w:firstLine="420"/>
      </w:pPr>
      <w:r>
        <w:rPr>
          <w:rFonts w:ascii="宋体" w:hAnsi="宋体" w:eastAsia="宋体"/>
          <w:b w:val="0"/>
          <w:sz w:val="21"/>
        </w:rPr>
        <w:t>三维排斥形态不是孤立存在的，它们通过三种深层机制相互强化，形成一个自我维持的排斥结构。这一结构的核心特征——用贾小双和梁玉成（2025）的术语——是从"可见的制度排斥"转向"技术遮蔽下的隐性排斥"。</w:t>
      </w:r>
    </w:p>
    <w:p>
      <w:pPr>
        <w:spacing w:before="160" w:after="80" w:line="360" w:lineRule="auto"/>
        <w:jc w:val="left"/>
      </w:pPr>
      <w:r>
        <w:rPr>
          <w:rFonts w:ascii="黑体" w:hAnsi="黑体" w:eastAsia="黑体"/>
          <w:b/>
          <w:sz w:val="22"/>
        </w:rPr>
        <w:t>（一）算法优绩主义：表面公平下的马太效应</w:t>
      </w:r>
    </w:p>
    <w:p>
      <w:pPr>
        <w:spacing w:before="0" w:after="80" w:line="360" w:lineRule="auto"/>
        <w:ind w:firstLine="420"/>
      </w:pPr>
      <w:r>
        <w:rPr>
          <w:rFonts w:ascii="宋体" w:hAnsi="宋体" w:eastAsia="宋体"/>
          <w:b w:val="0"/>
          <w:sz w:val="21"/>
        </w:rPr>
        <w:t>算法优绩主义的核心逻辑是：用"绩效"的客观性遮蔽"起点"的不平等。智慧养老平台的服务分配算法看似"公平"——谁的需求评估分高，谁获得更多资源——但需求评估分本身受教育程度、数字素养、家庭支持等因素的系统性影响。一个能熟练使用智能手机自行完成健康自评的城市老人，与一个不会使用手机、需要护理员代为操作评估问卷的农村老人，在算法系统中获得的服务优先级不可同日而语。这意味着：算法不是在识别"真实需求"，而是在识别"已经被数字化的需求"。那些无法将自身需求"翻译"为数字信号的老年人——据许小玲和张高荣（2025）估计的"沉默的少数"——在算法视域中压根不存在。</w:t>
      </w:r>
    </w:p>
    <w:p>
      <w:pPr>
        <w:spacing w:before="0" w:after="120" w:line="360" w:lineRule="auto"/>
        <w:ind w:firstLine="420"/>
      </w:pPr>
      <w:r>
        <w:rPr>
          <w:rFonts w:ascii="宋体" w:hAnsi="宋体" w:eastAsia="宋体"/>
          <w:b w:val="0"/>
          <w:sz w:val="21"/>
        </w:rPr>
        <w:t>算法优绩主义使排斥呈现出自强化特征：越能使用数字服务的老人→产生越多数据→获得越精准的匹配→越满意→越愿意使用→系统越倾向于优先分配资源给他们。反之亦然。最终，服务资源从"需求驱动"异化为"数据驱动"——不是谁最需要谁获得，而是谁产生最多数据谁获得。</w:t>
      </w:r>
    </w:p>
    <w:p>
      <w:pPr>
        <w:spacing w:before="160" w:after="80" w:line="360" w:lineRule="auto"/>
        <w:jc w:val="left"/>
      </w:pPr>
      <w:r>
        <w:rPr>
          <w:rFonts w:ascii="黑体" w:hAnsi="黑体" w:eastAsia="黑体"/>
          <w:b/>
          <w:sz w:val="22"/>
        </w:rPr>
        <w:t>（二）数字继承：代际传递中的阶层固化</w:t>
      </w:r>
    </w:p>
    <w:p>
      <w:pPr>
        <w:spacing w:before="0" w:after="80" w:line="360" w:lineRule="auto"/>
        <w:ind w:firstLine="420"/>
      </w:pPr>
      <w:r>
        <w:rPr>
          <w:rFonts w:ascii="宋体" w:hAnsi="宋体" w:eastAsia="宋体"/>
          <w:b w:val="0"/>
          <w:sz w:val="21"/>
        </w:rPr>
        <w:t>养老服务中的数字排斥不纯然是"年龄问题"，更深层的是"阶层问题"。贾小双和梁玉成（2025）提出的"数字继承"机制揭示了一个被"年龄叙事"遮蔽的真相：老年人内部的不平等正在加剧，而数字技术在以隐蔽的方式固化这种不平等。</w:t>
      </w:r>
    </w:p>
    <w:p>
      <w:pPr>
        <w:spacing w:before="0" w:after="120" w:line="360" w:lineRule="auto"/>
        <w:ind w:firstLine="420"/>
      </w:pPr>
      <w:r>
        <w:rPr>
          <w:rFonts w:ascii="宋体" w:hAnsi="宋体" w:eastAsia="宋体"/>
          <w:b w:val="0"/>
          <w:sz w:val="21"/>
        </w:rPr>
        <w:t>数字继承的运作逻辑是：子女的数字素养与家庭经济条件→家庭数字化协同水平→老年人数字技能的获取机会→老年人数智服务的受益程度。城市中产家庭的子女高数字素养，为父母配置智能设备并持续提供"数字反哺"，老年人数字技能持续提升，充分享受智慧养老红利。而农村/城市贫困家庭的子女本身数字素养有限或外出务工，无暇/无力提供"数字反哺"，老年人被数智养老服务边缘化。这种代际传递效应意味着，数智化转型若不加以干预，将加速而非缓解养老服务中的不平等。</w:t>
      </w:r>
    </w:p>
    <w:p>
      <w:pPr>
        <w:spacing w:before="160" w:after="80" w:line="360" w:lineRule="auto"/>
        <w:jc w:val="left"/>
      </w:pPr>
      <w:r>
        <w:rPr>
          <w:rFonts w:ascii="黑体" w:hAnsi="黑体" w:eastAsia="黑体"/>
          <w:b/>
          <w:sz w:val="22"/>
        </w:rPr>
        <w:t>（三）算法规训：在"技术关怀"名义下的制度化排斥</w:t>
      </w:r>
    </w:p>
    <w:p>
      <w:pPr>
        <w:spacing w:before="0" w:after="80" w:line="360" w:lineRule="auto"/>
        <w:ind w:firstLine="420"/>
      </w:pPr>
      <w:r>
        <w:rPr>
          <w:rFonts w:ascii="宋体" w:hAnsi="宋体" w:eastAsia="宋体"/>
          <w:b w:val="0"/>
          <w:sz w:val="21"/>
        </w:rPr>
        <w:t>算法规训是三种机制中最隐蔽的。贾小双和梁玉成（2025）指出，算法以"技术表现的客观性"替代"法定程序的合法性"，通过对个体的持续分类、评估和引导，使个体接受算法的标准并将其内化为自我规训。</w:t>
      </w:r>
    </w:p>
    <w:p>
      <w:pPr>
        <w:spacing w:before="0" w:after="120" w:line="360" w:lineRule="auto"/>
        <w:ind w:firstLine="420"/>
      </w:pPr>
      <w:r>
        <w:rPr>
          <w:rFonts w:ascii="宋体" w:hAnsi="宋体" w:eastAsia="宋体"/>
          <w:b w:val="0"/>
          <w:sz w:val="21"/>
        </w:rPr>
        <w:t>在养老服务中，算法规训体现为三个层面：其一，行为标准化与"好老人"标准的算法定义。智能手环/监测系统在"健康管理"的名义下定义着"什么是一个好老人"——按时吃药、规律作息、情绪稳定的老人被标记为"低风险"，获得较少关注；而不规律、不配合的老人被标记为"高风险"，但得到的往往是更多监控而非更多关怀。其二，自我归因与合法化遮蔽。当老年人无法完成智能设备操作时，系统将其归因为"用户操作错误"，老年人逐渐接受这一归因——"是我老了，学不会了"——将结构性排斥转化为个体能力不足的自我认知。其三，责任归属的算法化规避。张福磊（2026）分析了"算法黑箱+人机耦合→问责链条断裂"的风险：当一个智慧养老系统做出错误判断时，责任应归于算法设计者、系统运营者还是基层护理员？这种责任的模糊性使系统层面的不公难以被追责。</w:t>
      </w:r>
    </w:p>
    <w:p>
      <w:pPr>
        <w:spacing w:before="240" w:after="120" w:line="360" w:lineRule="auto"/>
        <w:jc w:val="left"/>
      </w:pPr>
      <w:r>
        <w:rPr>
          <w:rFonts w:ascii="黑体" w:hAnsi="黑体" w:eastAsia="黑体"/>
          <w:b/>
          <w:sz w:val="24"/>
        </w:rPr>
        <w:t>五、包容性治理路径：超越"补救型"逻辑</w:t>
      </w:r>
    </w:p>
    <w:p>
      <w:pPr>
        <w:spacing w:before="0" w:after="120" w:line="360" w:lineRule="auto"/>
        <w:ind w:firstLine="420"/>
      </w:pPr>
      <w:r>
        <w:rPr>
          <w:rFonts w:ascii="宋体" w:hAnsi="宋体" w:eastAsia="宋体"/>
          <w:b w:val="0"/>
          <w:sz w:val="21"/>
        </w:rPr>
        <w:t>当前各地在应对数字排斥时大多采取"补救型"策略——发现某类老人被排斥，然后组织志愿者教他们用手机、升级大字版界面、发补贴买智能设备。这种策略无法触及排斥的深层结构性根源。本文提出"技术包容-组织协同-能力建设-制度保障"四维包容性治理框架。</w:t>
      </w:r>
    </w:p>
    <w:p>
      <w:pPr>
        <w:spacing w:before="160" w:after="80" w:line="360" w:lineRule="auto"/>
        <w:jc w:val="left"/>
      </w:pPr>
      <w:r>
        <w:rPr>
          <w:rFonts w:ascii="黑体" w:hAnsi="黑体" w:eastAsia="黑体"/>
          <w:b/>
          <w:sz w:val="22"/>
        </w:rPr>
        <w:t>（一）技术包容：从"一刀切"到"分层适配"</w:t>
      </w:r>
    </w:p>
    <w:p>
      <w:pPr>
        <w:spacing w:before="0" w:after="120" w:line="360" w:lineRule="auto"/>
        <w:ind w:firstLine="420"/>
      </w:pPr>
      <w:r>
        <w:rPr>
          <w:rFonts w:ascii="宋体" w:hAnsi="宋体" w:eastAsia="宋体"/>
          <w:b w:val="0"/>
          <w:sz w:val="21"/>
        </w:rPr>
        <w:t>技术包容的核心原则是：数字系统的设计应以最弱势群体的能力为基线，而非以最优势群体的期望为目标。具体路径包括：（1）"人机互补"设计原则——明确界定哪些服务必须保留人工通道（情感支持、危机干预、尊严维护决策），哪些可以自动化（数据采集、常规提醒），防止技术逻辑全面替代关怀逻辑；（2）多模态交互设计——超越"触屏"主导范式，发展语音交互、情感计算、体感交互等多元交互方式；（3）文化敏感的技术设计——对民族地区提供本地语言界面，对农村适老化提供与当地生活方式匹配的服务流程。</w:t>
      </w:r>
    </w:p>
    <w:p>
      <w:pPr>
        <w:spacing w:before="160" w:after="80" w:line="360" w:lineRule="auto"/>
        <w:jc w:val="left"/>
      </w:pPr>
      <w:r>
        <w:rPr>
          <w:rFonts w:ascii="黑体" w:hAnsi="黑体" w:eastAsia="黑体"/>
          <w:b/>
          <w:sz w:val="22"/>
        </w:rPr>
        <w:t>（二）组织协同：从"数据孤岛"到"信息共享"</w:t>
      </w:r>
    </w:p>
    <w:p>
      <w:pPr>
        <w:spacing w:before="0" w:after="120" w:line="360" w:lineRule="auto"/>
        <w:ind w:firstLine="420"/>
      </w:pPr>
      <w:r>
        <w:rPr>
          <w:rFonts w:ascii="宋体" w:hAnsi="宋体" w:eastAsia="宋体"/>
          <w:b w:val="0"/>
          <w:sz w:val="21"/>
        </w:rPr>
        <w:t>组织层面的治理路径包括：（1）建立统一的养老数据共享标准——解决23.8%数据互通率问题的根本出路不是技术接口的升级，而是数据共享的制度化约定；（2）打破"刚性标准"的制度锁定——从"静态门槛"（几年工作经验）转向"动态能力评估"（数字工具操作考核、持续教育学分）；（3）构建社区嵌入式服务网络（青连斌等，2026）——将数智平台嵌入社区既有的服务网络中，让技术服务于人而非替代人。</w:t>
      </w:r>
    </w:p>
    <w:p>
      <w:pPr>
        <w:spacing w:before="160" w:after="80" w:line="360" w:lineRule="auto"/>
        <w:jc w:val="left"/>
      </w:pPr>
      <w:r>
        <w:rPr>
          <w:rFonts w:ascii="黑体" w:hAnsi="黑体" w:eastAsia="黑体"/>
          <w:b/>
          <w:sz w:val="22"/>
        </w:rPr>
        <w:t>（三）能力建设：从"劳动密集型"到"精准供给型"</w:t>
      </w:r>
    </w:p>
    <w:p>
      <w:pPr>
        <w:spacing w:before="0" w:after="120" w:line="360" w:lineRule="auto"/>
        <w:ind w:firstLine="420"/>
      </w:pPr>
      <w:r>
        <w:rPr>
          <w:rFonts w:ascii="宋体" w:hAnsi="宋体" w:eastAsia="宋体"/>
          <w:b w:val="0"/>
          <w:sz w:val="21"/>
        </w:rPr>
        <w:t>曹科岩和方之瑜（2026）提出的"从劳动密集型到精准供给型"人才转型，是消解数字排斥的关键环节：（1）建立"疾病-能力"匹配的分层培训体系——将五类疾病×七项能力矩阵转化为养老护理员分层培训课程；（2）破解"低薪-低素质"恶性循环——将数字素养等级与薪酬挂钩；（3）建立"数字反哺"的社会化机制——将家庭内部的数字继承效应扩展为社区公共品，组织社区青年志愿者、低龄老年人组成数字互助网络。</w:t>
      </w:r>
    </w:p>
    <w:p>
      <w:pPr>
        <w:spacing w:before="160" w:after="80" w:line="360" w:lineRule="auto"/>
        <w:jc w:val="left"/>
      </w:pPr>
      <w:r>
        <w:rPr>
          <w:rFonts w:ascii="黑体" w:hAnsi="黑体" w:eastAsia="黑体"/>
          <w:b/>
          <w:sz w:val="22"/>
        </w:rPr>
        <w:t>（四）制度保障：从"效率优先"到"权利保障"</w:t>
      </w:r>
    </w:p>
    <w:p>
      <w:pPr>
        <w:spacing w:before="0" w:after="120" w:line="360" w:lineRule="auto"/>
        <w:ind w:firstLine="420"/>
      </w:pPr>
      <w:r>
        <w:rPr>
          <w:rFonts w:ascii="宋体" w:hAnsi="宋体" w:eastAsia="宋体"/>
          <w:b w:val="0"/>
          <w:sz w:val="21"/>
        </w:rPr>
        <w:t>制度层面需要从三个方向重构：（1）确立老年数字权利框架——在法律层面明确老年人享有"非数字化替代服务"的权利，防止"数字选项"变成"唯一选项"；（2）构建算法问责机制——参照欧盟《人工智能法案》的风险分级制度，对养老服务中的算法进行事前风险评估，建立算法决策的可追溯和可申诉机制；（3）完善长期护理保险的数智化衔接——将数字包容指标纳入长期护理保险的评价体系。</w:t>
      </w:r>
    </w:p>
    <w:p>
      <w:pPr>
        <w:spacing w:before="240" w:after="120" w:line="360" w:lineRule="auto"/>
        <w:jc w:val="left"/>
      </w:pPr>
      <w:r>
        <w:rPr>
          <w:rFonts w:ascii="黑体" w:hAnsi="黑体" w:eastAsia="黑体"/>
          <w:b/>
          <w:sz w:val="24"/>
        </w:rPr>
        <w:t>六、结论与展望</w:t>
      </w:r>
    </w:p>
    <w:p>
      <w:pPr>
        <w:spacing w:before="0" w:after="80" w:line="360" w:lineRule="auto"/>
        <w:ind w:firstLine="420"/>
      </w:pPr>
      <w:r>
        <w:rPr>
          <w:rFonts w:ascii="宋体" w:hAnsi="宋体" w:eastAsia="宋体"/>
          <w:b w:val="0"/>
          <w:sz w:val="21"/>
        </w:rPr>
        <w:t>本文基于数智社会分层理论与TOE异化风险框架，系统分析了数智养老服务中数字排斥的形态、机制与治理路径。核心发现如下：</w:t>
      </w:r>
    </w:p>
    <w:p>
      <w:pPr>
        <w:spacing w:before="0" w:after="80" w:line="360" w:lineRule="auto"/>
        <w:ind w:firstLine="420"/>
      </w:pPr>
      <w:r>
        <w:rPr>
          <w:rFonts w:ascii="宋体" w:hAnsi="宋体" w:eastAsia="宋体"/>
          <w:b w:val="0"/>
          <w:sz w:val="21"/>
        </w:rPr>
        <w:t>第一，数字排斥呈现为"技术-组织-个体"三维叠加的多层结构。技术维度上，算法行为的自动分级和适老化设计的表面化使排斥内嵌于系统架构本身；组织维度上，数据壁垒和政策刚性造成"技术在场、服务缺席"的悖论；个体维度上，AIQ分化与94%的人才缺口形成"双重短缺"。三维排斥相互强化，形成一个自我维持的排斥循环。</w:t>
      </w:r>
    </w:p>
    <w:p>
      <w:pPr>
        <w:spacing w:before="0" w:after="80" w:line="360" w:lineRule="auto"/>
        <w:ind w:firstLine="420"/>
      </w:pPr>
      <w:r>
        <w:rPr>
          <w:rFonts w:ascii="宋体" w:hAnsi="宋体" w:eastAsia="宋体"/>
          <w:b w:val="0"/>
          <w:sz w:val="21"/>
        </w:rPr>
        <w:t>第二，数字排斥的深层动力来自"隐性再生产"机制。算法优绩主义通过"数据驱动"替代"需求驱动"形成马太效应；数字继承将家庭数字资源禀赋转化为代际不平等的固化力量；算法规训在"技术关怀"名义下使排斥合法化、内在化。三者共同作用，使不平等从"可见的制度排斥"转向"技术遮蔽下的自我规训"。</w:t>
      </w:r>
    </w:p>
    <w:p>
      <w:pPr>
        <w:spacing w:before="0" w:after="80" w:line="360" w:lineRule="auto"/>
        <w:ind w:firstLine="420"/>
      </w:pPr>
      <w:r>
        <w:rPr>
          <w:rFonts w:ascii="宋体" w:hAnsi="宋体" w:eastAsia="宋体"/>
          <w:b w:val="0"/>
          <w:sz w:val="21"/>
        </w:rPr>
        <w:t>第三，现有治理路径存在"技术中心主义"的结构性偏差。偏重技术部署而忽视包容设计，偏重效率提升而忽视权利保障，偏重市场激励而忽视公共价值——这种偏差使"补救型"策略无法触及排斥的深层根源。</w:t>
      </w:r>
    </w:p>
    <w:p>
      <w:pPr>
        <w:spacing w:before="0" w:after="240" w:line="360" w:lineRule="auto"/>
        <w:ind w:firstLine="420"/>
      </w:pPr>
      <w:r>
        <w:rPr>
          <w:rFonts w:ascii="宋体" w:hAnsi="宋体" w:eastAsia="宋体"/>
          <w:b w:val="0"/>
          <w:sz w:val="21"/>
        </w:rPr>
        <w:t>本文的局限在于：理论建构性质，缺乏系统性的实证数据验证框架的有效性；对不同地区（城市/农村/民族地区）、不同养老模式的排斥差异未做精细区分；对"算法权力"在养老服务中的具体运作机制缺乏技术层面的深入剖析。未来研究可在以下方向深化：开发"数字排斥敏感度"量表进行大样本定量测量；随着大模型在养老服务中的应用加速，持续追踪数字排斥形态的新一轮演变；选取不同地区和养老模式的典型案例进行比较研究；将公共管理学与计算机科学交叉，探索"可审计的养老算法"的技术实现路径。</w:t>
      </w:r>
    </w:p>
    <w:p>
      <w:pPr>
        <w:spacing w:before="240" w:after="120" w:line="360" w:lineRule="auto"/>
        <w:jc w:val="left"/>
      </w:pPr>
      <w:r>
        <w:rPr>
          <w:rFonts w:ascii="黑体" w:hAnsi="黑体" w:eastAsia="黑体"/>
          <w:b/>
          <w:sz w:val="24"/>
        </w:rPr>
        <w:t>参考文献</w:t>
      </w:r>
    </w:p>
    <w:p>
      <w:pPr>
        <w:spacing w:after="40" w:line="300" w:lineRule="auto"/>
        <w:ind w:hanging="420" w:left="420"/>
      </w:pPr>
      <w:r>
        <w:rPr>
          <w:rFonts w:ascii="宋体" w:hAnsi="宋体" w:eastAsia="宋体"/>
          <w:sz w:val="18"/>
        </w:rPr>
        <w:t>[1] 贾小双, 梁玉成. 数智时代社会分层的新维度与隐性再生产[J]. 智能社会研究, 2025(6): 180-201.</w:t>
      </w:r>
    </w:p>
    <w:p>
      <w:pPr>
        <w:spacing w:after="40" w:line="300" w:lineRule="auto"/>
        <w:ind w:hanging="420" w:left="420"/>
      </w:pPr>
      <w:r>
        <w:rPr>
          <w:rFonts w:ascii="宋体" w:hAnsi="宋体" w:eastAsia="宋体"/>
          <w:sz w:val="18"/>
        </w:rPr>
        <w:t>[2] 许小玲, 张高荣. 数智赋能社会救助的逻辑理路与异化风险治理——基于TOE框架的分析[J]. 人文杂志, 2025(8): 123-131.</w:t>
      </w:r>
    </w:p>
    <w:p>
      <w:pPr>
        <w:spacing w:after="40" w:line="300" w:lineRule="auto"/>
        <w:ind w:hanging="420" w:left="420"/>
      </w:pPr>
      <w:r>
        <w:rPr>
          <w:rFonts w:ascii="宋体" w:hAnsi="宋体" w:eastAsia="宋体"/>
          <w:sz w:val="18"/>
        </w:rPr>
        <w:t>[3] 李漠颖. 内蒙古地区数智融合赋能养老产业发展研究[J]. 商业经济, 2026(5): 36-43.</w:t>
      </w:r>
    </w:p>
    <w:p>
      <w:pPr>
        <w:spacing w:after="40" w:line="300" w:lineRule="auto"/>
        <w:ind w:hanging="420" w:left="420"/>
      </w:pPr>
      <w:r>
        <w:rPr>
          <w:rFonts w:ascii="宋体" w:hAnsi="宋体" w:eastAsia="宋体"/>
          <w:sz w:val="18"/>
        </w:rPr>
        <w:t>[4] 曹科岩, 方之瑜. 从劳动密集型到精准供给型：我国智慧养老服务人才适配机制与路径优化[J]. 深圳大学学报(人文社会科学版), 2026, 43(3): 14-22.</w:t>
      </w:r>
    </w:p>
    <w:p>
      <w:pPr>
        <w:spacing w:after="40" w:line="300" w:lineRule="auto"/>
        <w:ind w:hanging="420" w:left="420"/>
      </w:pPr>
      <w:r>
        <w:rPr>
          <w:rFonts w:ascii="宋体" w:hAnsi="宋体" w:eastAsia="宋体"/>
          <w:sz w:val="18"/>
        </w:rPr>
        <w:t>[5] 青连斌, 丁建定, 杨立雄, 等. 银发社会与老有所为：理念、实践与路径[J]. 西北大学学报(哲学社会科学版), 2026, 56(3): 1-15.</w:t>
      </w:r>
    </w:p>
    <w:p>
      <w:pPr>
        <w:spacing w:after="40" w:line="300" w:lineRule="auto"/>
        <w:ind w:hanging="420" w:left="420"/>
      </w:pPr>
      <w:r>
        <w:rPr>
          <w:rFonts w:ascii="宋体" w:hAnsi="宋体" w:eastAsia="宋体"/>
          <w:sz w:val="18"/>
        </w:rPr>
        <w:t>[6] 张福磊. 城市治理大模型的运行机理、风险挑战与实践路径[J]. 行政论坛, 2026(2): 155-164.</w:t>
      </w:r>
    </w:p>
    <w:p>
      <w:pPr>
        <w:spacing w:after="40" w:line="300" w:lineRule="auto"/>
        <w:ind w:hanging="420" w:left="420"/>
      </w:pPr>
      <w:r>
        <w:rPr>
          <w:rFonts w:ascii="宋体" w:hAnsi="宋体" w:eastAsia="宋体"/>
          <w:sz w:val="18"/>
        </w:rPr>
        <w:t>[7] Van Dijk J. The Digital Divide[M]. Cambridge: Polity Press, 2020.</w:t>
      </w:r>
    </w:p>
    <w:p>
      <w:pPr>
        <w:spacing w:after="40" w:line="300" w:lineRule="auto"/>
        <w:ind w:hanging="420" w:left="420"/>
      </w:pPr>
      <w:r>
        <w:rPr>
          <w:rFonts w:ascii="宋体" w:hAnsi="宋体" w:eastAsia="宋体"/>
          <w:sz w:val="18"/>
        </w:rPr>
        <w:t>[8] European Commission. Proposal for a Regulation Laying Down Harmonised Rules on Artificial Intelligence (Artificial Intelligence Act)[R]. Brussels, 2021.</w:t>
      </w:r>
    </w:p>
    <w:p>
      <w:pPr>
        <w:spacing w:after="40" w:line="300" w:lineRule="auto"/>
        <w:ind w:hanging="420" w:left="420"/>
      </w:pPr>
      <w:r>
        <w:rPr>
          <w:rFonts w:ascii="宋体" w:hAnsi="宋体" w:eastAsia="宋体"/>
          <w:sz w:val="18"/>
        </w:rPr>
        <w:t>[9] Fourcade M, Healy K. Seeing like a market[J]. Socio-Economic Review, 2017, 15(1): 9-29.</w:t>
      </w:r>
    </w:p>
    <w:p>
      <w:pPr>
        <w:spacing w:after="40" w:line="300" w:lineRule="auto"/>
        <w:ind w:hanging="420" w:left="420"/>
      </w:pPr>
      <w:r>
        <w:rPr>
          <w:rFonts w:ascii="宋体" w:hAnsi="宋体" w:eastAsia="宋体"/>
          <w:sz w:val="18"/>
        </w:rPr>
        <w:t>[10] Zuboff S. The Age of Surveillance Capitalism[M]. New York: PublicAffairs, 2019.</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