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jc w:val="center"/>
      </w:pPr>
      <w:r>
        <w:rPr>
          <w:rFonts w:ascii="黑体" w:hAnsi="黑体" w:eastAsia="黑体"/>
          <w:b/>
          <w:i w:val="0"/>
          <w:sz w:val="28"/>
        </w:rPr>
        <w:t>技术在场、服务缺席：数智养老服务中数字排斥的生成逻辑与治理路径</w:t>
      </w:r>
    </w:p>
    <w:p>
      <w:pPr>
        <w:spacing w:line="360" w:lineRule="auto"/>
        <w:ind w:firstLine="480"/>
        <w:jc w:val="both"/>
      </w:pPr>
      <w:r>
        <w:rPr>
          <w:rFonts w:ascii="宋体" w:hAnsi="宋体" w:eastAsia="宋体"/>
          <w:b w:val="0"/>
          <w:i w:val="0"/>
          <w:sz w:val="24"/>
        </w:rPr>
      </w:r>
      <w:r>
        <w:rPr>
          <w:rFonts w:ascii="宋体" w:hAnsi="宋体" w:eastAsia="宋体"/>
          <w:b/>
          <w:i w:val="0"/>
          <w:sz w:val="24"/>
        </w:rPr>
        <w:t>摘要</w:t>
      </w:r>
      <w:r>
        <w:rPr>
          <w:rFonts w:ascii="宋体" w:hAnsi="宋体" w:eastAsia="宋体"/>
          <w:b w:val="0"/>
          <w:i w:val="0"/>
          <w:sz w:val="24"/>
        </w:rPr>
        <w:t>：人口老龄化与数智化转型的时空交汇，使养老服务领域面临"技术在场、服务缺席"的深层悖论——数智基础设施加速部署，但服务效能的公平分配远未实现。本文作为一篇概念性论文（conceptual paper），基于数智社会分层理论与TOE异化风险框架，提出"技术-组织-个体"三维整合分析模型，尝试构建数智养老服务中数字排斥的形态谱系与隐性生成机制的分析框架。本文提出：数字排斥已超越传统"接入鸿沟"，呈现为算法权力分级（算法规训）、组织数据壁垒（信息孤岛）、个体能力错配（AIQ分化）叠加的"三重排斥"结构；其深层动力源自算法优绩主义、数字继承与算法规训三种隐性机制，多重排斥形态共存，且出现了新的隐蔽形式。现有治理路径受制于"技术中心主义"惯性，表现为重技术部署轻包容设计、重效率提升轻权利保障、重市场激励轻公共价值的结构性偏差。本文提出"技术包容-组织协同-能力建设-制度保障"四维包容性治理框架，上述命题均为理论假设，有待实证检验，旨在为超越"补救型"排斥治理、构建数字养老服务正义体系提供理论参照。</w:t>
      </w:r>
    </w:p>
    <w:p>
      <w:pPr>
        <w:spacing w:line="360" w:lineRule="auto"/>
        <w:ind w:firstLine="480"/>
        <w:jc w:val="both"/>
      </w:pPr>
      <w:r>
        <w:rPr>
          <w:rFonts w:ascii="宋体" w:hAnsi="宋体" w:eastAsia="宋体"/>
          <w:b w:val="0"/>
          <w:i w:val="0"/>
          <w:sz w:val="24"/>
        </w:rPr>
      </w:r>
      <w:r>
        <w:rPr>
          <w:rFonts w:ascii="宋体" w:hAnsi="宋体" w:eastAsia="宋体"/>
          <w:b/>
          <w:i w:val="0"/>
          <w:sz w:val="24"/>
        </w:rPr>
        <w:t>关键词</w:t>
      </w:r>
      <w:r>
        <w:rPr>
          <w:rFonts w:ascii="宋体" w:hAnsi="宋体" w:eastAsia="宋体"/>
          <w:b w:val="0"/>
          <w:i w:val="0"/>
          <w:sz w:val="24"/>
        </w:rPr>
        <w:t>：数字排斥；数智养老；包容性治理；隐性再生产；算法权力；TOE框架</w:t>
      </w:r>
    </w:p>
    <w:p>
      <w:pPr>
        <w:spacing w:before="200" w:after="80" w:line="360" w:lineRule="auto"/>
        <w:jc w:val="left"/>
      </w:pPr>
      <w:r>
        <w:rPr>
          <w:rFonts w:ascii="黑体" w:hAnsi="黑体" w:eastAsia="黑体"/>
          <w:b/>
          <w:i w:val="0"/>
          <w:sz w:val="24"/>
        </w:rPr>
        <w:t>一、引言</w:t>
      </w:r>
    </w:p>
    <w:p>
      <w:pPr>
        <w:spacing w:before="120" w:after="60" w:line="360" w:lineRule="auto"/>
        <w:jc w:val="left"/>
      </w:pPr>
      <w:r>
        <w:rPr>
          <w:rFonts w:ascii="楷体" w:hAnsi="楷体" w:eastAsia="楷体"/>
          <w:b/>
          <w:i w:val="0"/>
          <w:sz w:val="24"/>
        </w:rPr>
        <w:t>（一）问题的提出</w:t>
      </w:r>
    </w:p>
    <w:p>
      <w:pPr>
        <w:spacing w:line="360" w:lineRule="auto"/>
        <w:ind w:firstLine="480"/>
        <w:jc w:val="both"/>
      </w:pPr>
      <w:r>
        <w:rPr>
          <w:rFonts w:ascii="宋体" w:hAnsi="宋体" w:eastAsia="宋体"/>
          <w:b w:val="0"/>
          <w:i w:val="0"/>
          <w:sz w:val="24"/>
        </w:rPr>
        <w:t>2025年，中国60岁以上人口已达3.1亿，占总人口的22%，正式进入中度老龄化社会（国家统计局，2025；青连斌等，2026）。与此同时，以人工智能、大数据、物联网为代表的数智技术正在以前所未有的深度嵌入养老服务全链条——从智能监测手环到社区智慧养老平台，从AI辅助护理评估到远程医疗问诊，数智化被寄予解决养老服务供给侧结构性矛盾的厚望。国家层面密集出台《"十四五"国家老龄事业发展和养老服务体系规划》《智慧健康养老产业发展行动计划》等政策文件，推动养老服务数智化转型成为积极应对人口老龄化的核心战略。</w:t>
      </w:r>
    </w:p>
    <w:p>
      <w:pPr>
        <w:spacing w:line="360" w:lineRule="auto"/>
        <w:ind w:firstLine="480"/>
        <w:jc w:val="both"/>
      </w:pPr>
      <w:r>
        <w:rPr>
          <w:rFonts w:ascii="宋体" w:hAnsi="宋体" w:eastAsia="宋体"/>
          <w:b w:val="0"/>
          <w:i w:val="0"/>
          <w:sz w:val="24"/>
        </w:rPr>
        <w:t>然而，数智化转型的实际成效呈现出一个令人困惑的悖论：</w:t>
      </w:r>
      <w:r>
        <w:rPr>
          <w:rFonts w:ascii="宋体" w:hAnsi="宋体" w:eastAsia="宋体"/>
          <w:b/>
          <w:i w:val="0"/>
          <w:sz w:val="24"/>
        </w:rPr>
        <w:t>技术基础设施加速部署，但服务效能的公平分配远未实现</w:t>
      </w:r>
      <w:r>
        <w:rPr>
          <w:rFonts w:ascii="宋体" w:hAnsi="宋体" w:eastAsia="宋体"/>
          <w:b w:val="0"/>
          <w:i w:val="0"/>
          <w:sz w:val="24"/>
        </w:rPr>
        <w:t>。一方面，智慧养老试点项目遍地开花，设备渗透率和平台覆盖率持续攀升；另一方面，大量老年人并未从数智化中实质性受益，甚至反而面临更加隐蔽的服务壁垒。许小玲和张高荣（2025）将此概括为"技术在场、服务缺席"——数智技术的在场并未自动转化为服务效能，反而可能制造"数字悬浮"与"工具理性僭越"等新风险。</w:t>
      </w:r>
    </w:p>
    <w:p>
      <w:pPr>
        <w:spacing w:line="360" w:lineRule="auto"/>
        <w:ind w:firstLine="480"/>
        <w:jc w:val="both"/>
      </w:pPr>
      <w:r>
        <w:rPr>
          <w:rFonts w:ascii="宋体" w:hAnsi="宋体" w:eastAsia="宋体"/>
          <w:b w:val="0"/>
          <w:i w:val="0"/>
          <w:sz w:val="24"/>
        </w:rPr>
        <w:t>这一悖论指向一个紧迫的学术追问：</w:t>
      </w:r>
      <w:r>
        <w:rPr>
          <w:rFonts w:ascii="宋体" w:hAnsi="宋体" w:eastAsia="宋体"/>
          <w:b/>
          <w:i w:val="0"/>
          <w:sz w:val="24"/>
        </w:rPr>
        <w:t>数智养老服务中，究竟哪些群体被排斥？排斥如何生成？如何走向包容性治理？</w:t>
      </w:r>
      <w:r>
        <w:rPr>
          <w:rFonts w:ascii="宋体" w:hAnsi="宋体" w:eastAsia="宋体"/>
          <w:b w:val="0"/>
          <w:i w:val="0"/>
          <w:sz w:val="24"/>
        </w:rPr>
        <w:t xml:space="preserve"> 回答这些问题，不仅关乎养老服务数智化转型的社会正义基础，也关乎积极老龄化国家战略能否真正惠及全体老年人。</w:t>
      </w:r>
    </w:p>
    <w:p>
      <w:pPr>
        <w:spacing w:before="120" w:after="60" w:line="360" w:lineRule="auto"/>
        <w:jc w:val="left"/>
      </w:pPr>
      <w:r>
        <w:rPr>
          <w:rFonts w:ascii="楷体" w:hAnsi="楷体" w:eastAsia="楷体"/>
          <w:b/>
          <w:i w:val="0"/>
          <w:sz w:val="24"/>
        </w:rPr>
        <w:t>（二）文献回顾与研究缺口</w:t>
      </w:r>
    </w:p>
    <w:p>
      <w:pPr>
        <w:spacing w:line="360" w:lineRule="auto"/>
        <w:ind w:firstLine="480"/>
        <w:jc w:val="both"/>
      </w:pPr>
      <w:r>
        <w:rPr>
          <w:rFonts w:ascii="宋体" w:hAnsi="宋体" w:eastAsia="宋体"/>
          <w:b w:val="0"/>
          <w:i w:val="0"/>
          <w:sz w:val="24"/>
        </w:rPr>
        <w:t>现有研究从三个视角切入这一议题：</w:t>
      </w:r>
    </w:p>
    <w:p>
      <w:pPr>
        <w:spacing w:line="360" w:lineRule="auto"/>
        <w:ind w:firstLine="480"/>
        <w:jc w:val="both"/>
      </w:pPr>
      <w:r>
        <w:rPr>
          <w:rFonts w:ascii="宋体" w:hAnsi="宋体" w:eastAsia="宋体"/>
          <w:b w:val="0"/>
          <w:i w:val="0"/>
          <w:sz w:val="24"/>
        </w:rPr>
      </w:r>
      <w:r>
        <w:rPr>
          <w:rFonts w:ascii="宋体" w:hAnsi="宋体" w:eastAsia="宋体"/>
          <w:b/>
          <w:i w:val="0"/>
          <w:sz w:val="24"/>
        </w:rPr>
        <w:t>第一，"赋能"视角</w:t>
      </w:r>
      <w:r>
        <w:rPr>
          <w:rFonts w:ascii="宋体" w:hAnsi="宋体" w:eastAsia="宋体"/>
          <w:b w:val="0"/>
          <w:i w:val="0"/>
          <w:sz w:val="24"/>
        </w:rPr>
        <w:t>——关注数智技术如何提升养老服务效率与质量。研究指出，智慧养老平台可显著缩短服务响应时间（内蒙古金穗社区"183"模式将响应时间缩至8.6分钟，应急处置率提高75%）（李漠颖，2026）。这类研究以"技术供给"为出发点，强调数智化的正向功能。</w:t>
      </w:r>
    </w:p>
    <w:p>
      <w:pPr>
        <w:spacing w:line="360" w:lineRule="auto"/>
        <w:ind w:firstLine="480"/>
        <w:jc w:val="both"/>
      </w:pPr>
      <w:r>
        <w:rPr>
          <w:rFonts w:ascii="宋体" w:hAnsi="宋体" w:eastAsia="宋体"/>
          <w:b w:val="0"/>
          <w:i w:val="0"/>
          <w:sz w:val="24"/>
        </w:rPr>
      </w:r>
      <w:r>
        <w:rPr>
          <w:rFonts w:ascii="宋体" w:hAnsi="宋体" w:eastAsia="宋体"/>
          <w:b/>
          <w:i w:val="0"/>
          <w:sz w:val="24"/>
        </w:rPr>
        <w:t>第二，"鸿沟"视角</w:t>
      </w:r>
      <w:r>
        <w:rPr>
          <w:rFonts w:ascii="宋体" w:hAnsi="宋体" w:eastAsia="宋体"/>
          <w:b w:val="0"/>
          <w:i w:val="0"/>
          <w:sz w:val="24"/>
        </w:rPr>
        <w:t>——关注老年人群体在数字技术使用中的差异。经典"数字鸿沟"研究从接入（一级）、使用（二级）、受益（三级）三个层次逐步深化（Van Dijk，2020），揭示年龄、教育、收入对数字技术使用的显著影响。DiMaggio和Hargittai（2004）进一步将"数字不平等"概念从简单的接入/未接入二分拓展为涵盖技术设备、使用自主性、社会支持网络和技能分布的多维框架，指出数字不平等的核心不仅在于能否接入，更在于接入后的使用方式差异。Van Deursen和Van Dijk（2014）的实证研究则表明，当接入鸿沟趋于弥合后，使用技能和用途的差异成为数字不平等的核心维度——他们将数字技能细化为操作技能、信息技能、社交技能和内容创造技能四个层次，老年人群体在操作和信息技能上的滞后具有结构性特征。曹科岩和方之瑜（2026）的实证研究发现，深圳养老服务人员的智能设备操作率普遍低于40%，内分泌疾病照护中会用血糖仪的护理员仅25.6%。但这一视角多聚焦于个体层面的能力差异，对技术系统本身的排斥效应关注不足。</w:t>
      </w:r>
    </w:p>
    <w:p>
      <w:pPr>
        <w:spacing w:line="360" w:lineRule="auto"/>
        <w:ind w:firstLine="480"/>
        <w:jc w:val="both"/>
      </w:pPr>
      <w:r>
        <w:rPr>
          <w:rFonts w:ascii="宋体" w:hAnsi="宋体" w:eastAsia="宋体"/>
          <w:b w:val="0"/>
          <w:i w:val="0"/>
          <w:sz w:val="24"/>
        </w:rPr>
      </w:r>
      <w:r>
        <w:rPr>
          <w:rFonts w:ascii="宋体" w:hAnsi="宋体" w:eastAsia="宋体"/>
          <w:b/>
          <w:i w:val="0"/>
          <w:sz w:val="24"/>
        </w:rPr>
        <w:t>第三，"批判"视角</w:t>
      </w:r>
      <w:r>
        <w:rPr>
          <w:rFonts w:ascii="宋体" w:hAnsi="宋体" w:eastAsia="宋体"/>
          <w:b w:val="0"/>
          <w:i w:val="0"/>
          <w:sz w:val="24"/>
        </w:rPr>
        <w:t>——关注数智化的异化风险与社会分层效应。贾小双和梁玉成（2025）系统提出"数智时代社会分层的新维度"框架，指出算法权力正在成为独立于经济资本和政治权力的新型分层资源，通过算法优绩主义、数字继承和算法规训三种机制，形成"技术遮蔽下的隐性再生产"。许小玲和张高荣（2025）基于TOE框架分析了数智技术在社会救助领域的四类异化风险，包括数字排斥、工具理性僭越、权责模糊和组织失灵。在国际学术脉络中，Winner（1980）较早提出技术人工物具有政治性的经典论断，指出技术系统的设计和部署内嵌了特定的权力关系和价值偏向——这一论断为理解智慧养老系统为何天然偏向"可量化需求"提供了理论根基。Akrich（1992）进一步提出"技术脚本"概念，认为技术物在设计中即预设了使用者的身份、能力和行为模式，不符合预设的群体在使用中便遭遇结构性障碍，这一视角为理解适老化设计中的排斥逻辑提供了重要理论资源。Gillespie（2014）从传播学视角剖析了算法的社会性——算法并非纯粹的技术中立物，而是通过"被选择的相关性"重新配置知识的可见性结构；Beer（2009）进一步提出"通过算法的权力"概念，认为算法正在重塑社会文化和权力关系。上述论述共同表明，算法权力的运作具有超越特定制度语境的普遍性特征。</w:t>
      </w:r>
    </w:p>
    <w:p>
      <w:pPr>
        <w:spacing w:line="360" w:lineRule="auto"/>
        <w:ind w:firstLine="480"/>
        <w:jc w:val="both"/>
      </w:pPr>
      <w:r>
        <w:rPr>
          <w:rFonts w:ascii="宋体" w:hAnsi="宋体" w:eastAsia="宋体"/>
          <w:b w:val="0"/>
          <w:i w:val="0"/>
          <w:sz w:val="24"/>
        </w:rPr>
      </w:r>
      <w:r>
        <w:rPr>
          <w:rFonts w:ascii="宋体" w:hAnsi="宋体" w:eastAsia="宋体"/>
          <w:b/>
          <w:i w:val="0"/>
          <w:sz w:val="24"/>
        </w:rPr>
        <w:t>研究缺口</w:t>
      </w:r>
      <w:r>
        <w:rPr>
          <w:rFonts w:ascii="宋体" w:hAnsi="宋体" w:eastAsia="宋体"/>
          <w:b w:val="0"/>
          <w:i w:val="0"/>
          <w:sz w:val="24"/>
        </w:rPr>
        <w:t>在于：（1）赋能视角与批判视角相对隔离，缺乏将两者置于统一分析框架的理论尝试；（2）数字鸿沟与数字排斥研究偏重个体因素，对技术-组织-制度层面的排斥机制挖掘不足；（3）养老服务场景具有特殊性——老年人不是同质群体，高龄/失能/低学历/农村/民族地区老年人的数字排斥形态与机制有显著差异，但现有研究对此关注不够。</w:t>
      </w:r>
    </w:p>
    <w:p>
      <w:pPr>
        <w:spacing w:before="120" w:after="60" w:line="360" w:lineRule="auto"/>
        <w:jc w:val="left"/>
      </w:pPr>
      <w:r>
        <w:rPr>
          <w:rFonts w:ascii="楷体" w:hAnsi="楷体" w:eastAsia="楷体"/>
          <w:b/>
          <w:i w:val="0"/>
          <w:sz w:val="24"/>
        </w:rPr>
        <w:t>（三）研究问题与贡献</w:t>
      </w:r>
    </w:p>
    <w:p>
      <w:pPr>
        <w:spacing w:line="360" w:lineRule="auto"/>
        <w:ind w:firstLine="480"/>
        <w:jc w:val="both"/>
      </w:pPr>
      <w:r>
        <w:rPr>
          <w:rFonts w:ascii="宋体" w:hAnsi="宋体" w:eastAsia="宋体"/>
          <w:b w:val="0"/>
          <w:i w:val="0"/>
          <w:sz w:val="24"/>
        </w:rPr>
        <w:t>本文提出三个层次的研究问题：（1）数智养老服务中数字排斥呈现哪些形态？——</w:t>
      </w:r>
      <w:r>
        <w:rPr>
          <w:rFonts w:ascii="宋体" w:hAnsi="宋体" w:eastAsia="宋体"/>
          <w:b/>
          <w:i w:val="0"/>
          <w:sz w:val="24"/>
        </w:rPr>
        <w:t>类型学分析</w:t>
      </w:r>
      <w:r>
        <w:rPr>
          <w:rFonts w:ascii="宋体" w:hAnsi="宋体" w:eastAsia="宋体"/>
          <w:b w:val="0"/>
          <w:i w:val="0"/>
          <w:sz w:val="24"/>
        </w:rPr>
        <w:t>；（2）数字排斥的深层生成机制是什么？——</w:t>
      </w:r>
      <w:r>
        <w:rPr>
          <w:rFonts w:ascii="宋体" w:hAnsi="宋体" w:eastAsia="宋体"/>
          <w:b/>
          <w:i w:val="0"/>
          <w:sz w:val="24"/>
        </w:rPr>
        <w:t>机制分析</w:t>
      </w:r>
      <w:r>
        <w:rPr>
          <w:rFonts w:ascii="宋体" w:hAnsi="宋体" w:eastAsia="宋体"/>
          <w:b w:val="0"/>
          <w:i w:val="0"/>
          <w:sz w:val="24"/>
        </w:rPr>
        <w:t>；（3）如何从"补救型"走向"包容型"治理？——</w:t>
      </w:r>
      <w:r>
        <w:rPr>
          <w:rFonts w:ascii="宋体" w:hAnsi="宋体" w:eastAsia="宋体"/>
          <w:b/>
          <w:i w:val="0"/>
          <w:sz w:val="24"/>
        </w:rPr>
        <w:t>路径分析</w:t>
      </w:r>
      <w:r>
        <w:rPr>
          <w:rFonts w:ascii="宋体" w:hAnsi="宋体" w:eastAsia="宋体"/>
          <w:b w:val="0"/>
          <w:i w:val="0"/>
          <w:sz w:val="24"/>
        </w:rPr>
        <w:t>。</w:t>
      </w:r>
    </w:p>
    <w:p>
      <w:pPr>
        <w:spacing w:line="360" w:lineRule="auto"/>
        <w:ind w:firstLine="480"/>
        <w:jc w:val="both"/>
      </w:pPr>
      <w:r>
        <w:rPr>
          <w:rFonts w:ascii="宋体" w:hAnsi="宋体" w:eastAsia="宋体"/>
          <w:b w:val="0"/>
          <w:i w:val="0"/>
          <w:sz w:val="24"/>
        </w:rPr>
        <w:t>需要明确声明的是：本文定位为一篇</w:t>
      </w:r>
      <w:r>
        <w:rPr>
          <w:rFonts w:ascii="宋体" w:hAnsi="宋体" w:eastAsia="宋体"/>
          <w:b/>
          <w:i w:val="0"/>
          <w:sz w:val="24"/>
        </w:rPr>
        <w:t>概念性论文（conceptual paper）</w:t>
      </w:r>
      <w:r>
        <w:rPr>
          <w:rFonts w:ascii="宋体" w:hAnsi="宋体" w:eastAsia="宋体"/>
          <w:b w:val="0"/>
          <w:i w:val="0"/>
          <w:sz w:val="24"/>
        </w:rPr>
        <w:t>，旨在通过理论综合与概念建构，提出一个整合性的分析框架，本文所提出的核心命题均为理论假设，有待系统实证研究加以检验和修正。在表述上，本文将"揭示了"类强论断改为"提出"类弱论断，以符合概念性论文的认识论定位。</w:t>
      </w:r>
    </w:p>
    <w:p>
      <w:pPr>
        <w:spacing w:line="360" w:lineRule="auto"/>
        <w:ind w:firstLine="480"/>
        <w:jc w:val="both"/>
      </w:pPr>
      <w:r>
        <w:rPr>
          <w:rFonts w:ascii="宋体" w:hAnsi="宋体" w:eastAsia="宋体"/>
          <w:b w:val="0"/>
          <w:i w:val="0"/>
          <w:sz w:val="24"/>
        </w:rPr>
        <w:t>理论贡献在于：将数智社会分层理论引入养老服务研究，提出数字排斥的"隐性再生产"特征分析框架，拓展了"数字鸿沟"研究的理论视野。实践贡献在于：提出"技术包容-组织协同-能力建设-制度保障"四维治理框架，为政策设计提供操作性参照。</w:t>
      </w:r>
    </w:p>
    <w:p>
      <w:pPr>
        <w:spacing w:before="200" w:after="80" w:line="360" w:lineRule="auto"/>
        <w:jc w:val="left"/>
      </w:pPr>
      <w:r>
        <w:rPr>
          <w:rFonts w:ascii="黑体" w:hAnsi="黑体" w:eastAsia="黑体"/>
          <w:b/>
          <w:i w:val="0"/>
          <w:sz w:val="24"/>
        </w:rPr>
        <w:t>二、理论基础与分析框架</w:t>
      </w:r>
    </w:p>
    <w:p>
      <w:pPr>
        <w:spacing w:before="120" w:after="60" w:line="360" w:lineRule="auto"/>
        <w:jc w:val="left"/>
      </w:pPr>
      <w:r>
        <w:rPr>
          <w:rFonts w:ascii="楷体" w:hAnsi="楷体" w:eastAsia="楷体"/>
          <w:b/>
          <w:i w:val="0"/>
          <w:sz w:val="24"/>
        </w:rPr>
        <w:t>（一）理论综合的方法说明</w:t>
      </w:r>
    </w:p>
    <w:p>
      <w:pPr>
        <w:spacing w:line="360" w:lineRule="auto"/>
        <w:ind w:firstLine="480"/>
        <w:jc w:val="both"/>
      </w:pPr>
      <w:r>
        <w:rPr>
          <w:rFonts w:ascii="宋体" w:hAnsi="宋体" w:eastAsia="宋体"/>
          <w:b w:val="0"/>
          <w:i w:val="0"/>
          <w:sz w:val="24"/>
        </w:rPr>
        <w:t>本节采用</w:t>
      </w:r>
      <w:r>
        <w:rPr>
          <w:rFonts w:ascii="宋体" w:hAnsi="宋体" w:eastAsia="宋体"/>
          <w:b/>
          <w:i w:val="0"/>
          <w:sz w:val="24"/>
        </w:rPr>
        <w:t>理论综合（theoretical synthesis）</w:t>
      </w:r>
      <w:r>
        <w:rPr>
          <w:rFonts w:ascii="宋体" w:hAnsi="宋体" w:eastAsia="宋体"/>
          <w:b w:val="0"/>
          <w:i w:val="0"/>
          <w:sz w:val="24"/>
        </w:rPr>
        <w:t>方法构建分析框架，而非对单一理论的演绎推导。之所以选择数智社会分层理论、TOE异化风险框架和积极老龄化理论作为核心理论资源，是因为三者在该问题的解释上具有互补性：（1）</w:t>
      </w:r>
      <w:r>
        <w:rPr>
          <w:rFonts w:ascii="宋体" w:hAnsi="宋体" w:eastAsia="宋体"/>
          <w:b/>
          <w:i w:val="0"/>
          <w:sz w:val="24"/>
        </w:rPr>
        <w:t>数智社会分层理论</w:t>
      </w:r>
      <w:r>
        <w:rPr>
          <w:rFonts w:ascii="宋体" w:hAnsi="宋体" w:eastAsia="宋体"/>
          <w:b w:val="0"/>
          <w:i w:val="0"/>
          <w:sz w:val="24"/>
        </w:rPr>
        <w:t>提供了对数字时代分层资源变迁和排斥深层机制的宏观解释——回答了"排斥的深层动力是什么"的问题；（2）</w:t>
      </w:r>
      <w:r>
        <w:rPr>
          <w:rFonts w:ascii="宋体" w:hAnsi="宋体" w:eastAsia="宋体"/>
          <w:b/>
          <w:i w:val="0"/>
          <w:sz w:val="24"/>
        </w:rPr>
        <w:t>TOE异化风险框架</w:t>
      </w:r>
      <w:r>
        <w:rPr>
          <w:rFonts w:ascii="宋体" w:hAnsi="宋体" w:eastAsia="宋体"/>
          <w:b w:val="0"/>
          <w:i w:val="0"/>
          <w:sz w:val="24"/>
        </w:rPr>
        <w:t>提供了技术-组织-环境多维度分析的中层工具——回答了"排斥在哪些维度表现"的问题；（3）</w:t>
      </w:r>
      <w:r>
        <w:rPr>
          <w:rFonts w:ascii="宋体" w:hAnsi="宋体" w:eastAsia="宋体"/>
          <w:b/>
          <w:i w:val="0"/>
          <w:sz w:val="24"/>
        </w:rPr>
        <w:t>积极老龄化理论</w:t>
      </w:r>
      <w:r>
        <w:rPr>
          <w:rFonts w:ascii="宋体" w:hAnsi="宋体" w:eastAsia="宋体"/>
          <w:b w:val="0"/>
          <w:i w:val="0"/>
          <w:sz w:val="24"/>
        </w:rPr>
        <w:t>提供了场景化的政策价值导向——回答了"向何处治理"的问题。三者的整合逻辑在于：以分层理论的"隐性再生产"机制为核心解释逻辑，以TOE框架的三维结构为分析分类器，以积极老龄化的包容价值为治理导向。本文提出的是一个分析框架而非普适性结论，有待后续实证研究检验和修正。</w:t>
      </w:r>
    </w:p>
    <w:p>
      <w:pPr>
        <w:spacing w:before="120" w:after="60" w:line="360" w:lineRule="auto"/>
        <w:jc w:val="left"/>
      </w:pPr>
      <w:r>
        <w:rPr>
          <w:rFonts w:ascii="楷体" w:hAnsi="楷体" w:eastAsia="楷体"/>
          <w:b/>
          <w:i w:val="0"/>
          <w:sz w:val="24"/>
        </w:rPr>
        <w:t>（二）核心理论资源</w:t>
      </w:r>
    </w:p>
    <w:p>
      <w:pPr>
        <w:spacing w:line="360" w:lineRule="auto"/>
        <w:ind w:firstLine="480"/>
        <w:jc w:val="both"/>
      </w:pPr>
      <w:r>
        <w:rPr>
          <w:rFonts w:ascii="宋体" w:hAnsi="宋体" w:eastAsia="宋体"/>
          <w:b w:val="0"/>
          <w:i w:val="0"/>
          <w:sz w:val="24"/>
        </w:rPr>
      </w:r>
      <w:r>
        <w:rPr>
          <w:rFonts w:ascii="宋体" w:hAnsi="宋体" w:eastAsia="宋体"/>
          <w:b/>
          <w:i w:val="0"/>
          <w:sz w:val="24"/>
        </w:rPr>
        <w:t>1. 数智社会分层理论与"隐性再生产"</w:t>
      </w:r>
      <w:r>
        <w:rPr>
          <w:rFonts w:ascii="宋体" w:hAnsi="宋体" w:eastAsia="宋体"/>
          <w:b w:val="0"/>
          <w:i w:val="0"/>
          <w:sz w:val="24"/>
        </w:rPr>
      </w:r>
    </w:p>
    <w:p>
      <w:pPr>
        <w:spacing w:line="360" w:lineRule="auto"/>
        <w:ind w:firstLine="480"/>
        <w:jc w:val="both"/>
      </w:pPr>
      <w:r>
        <w:rPr>
          <w:rFonts w:ascii="宋体" w:hAnsi="宋体" w:eastAsia="宋体"/>
          <w:b w:val="0"/>
          <w:i w:val="0"/>
          <w:sz w:val="24"/>
        </w:rPr>
        <w:t>贾小双和梁玉成（2025）构建了"结构-投入-结果"整合性分析框架，系统刻画了数智时代社会分层资源的系统性变迁。该框架的核心洞见有三：</w:t>
      </w:r>
    </w:p>
    <w:p>
      <w:pPr>
        <w:spacing w:line="360" w:lineRule="auto"/>
        <w:ind w:firstLine="480"/>
        <w:jc w:val="both"/>
      </w:pPr>
      <w:r>
        <w:rPr>
          <w:rFonts w:ascii="宋体" w:hAnsi="宋体" w:eastAsia="宋体"/>
          <w:b w:val="0"/>
          <w:i w:val="0"/>
          <w:sz w:val="24"/>
        </w:rPr>
        <w:t>其一，</w:t>
      </w:r>
      <w:r>
        <w:rPr>
          <w:rFonts w:ascii="宋体" w:hAnsi="宋体" w:eastAsia="宋体"/>
          <w:b/>
          <w:i w:val="0"/>
          <w:sz w:val="24"/>
        </w:rPr>
        <w:t>分层资源的数字化变迁</w:t>
      </w:r>
      <w:r>
        <w:rPr>
          <w:rFonts w:ascii="宋体" w:hAnsi="宋体" w:eastAsia="宋体"/>
          <w:b w:val="0"/>
          <w:i w:val="0"/>
          <w:sz w:val="24"/>
        </w:rPr>
        <w:t>。经济资源数字化为数据资本，集中于少数头部平台企业；政治资源转化为算法权力——"代码即法律"，算法通过行为分级和人群分类重塑生活机会分配逻辑；人力资本从文凭资本跃迁为数字素养乃至AI商数（AIQ，人机协作能力）；文化资本从"精英认证"转向"注意力变现"；社会资本从"关系嵌入"转向"平台连接"。</w:t>
      </w:r>
    </w:p>
    <w:p>
      <w:pPr>
        <w:spacing w:line="360" w:lineRule="auto"/>
        <w:ind w:firstLine="480"/>
        <w:jc w:val="both"/>
      </w:pPr>
      <w:r>
        <w:rPr>
          <w:rFonts w:ascii="宋体" w:hAnsi="宋体" w:eastAsia="宋体"/>
          <w:b w:val="0"/>
          <w:i w:val="0"/>
          <w:sz w:val="24"/>
        </w:rPr>
        <w:t>其二，</w:t>
      </w:r>
      <w:r>
        <w:rPr>
          <w:rFonts w:ascii="宋体" w:hAnsi="宋体" w:eastAsia="宋体"/>
          <w:b/>
          <w:i w:val="0"/>
          <w:sz w:val="24"/>
        </w:rPr>
        <w:t>三层数字阶层结构</w:t>
      </w:r>
      <w:r>
        <w:rPr>
          <w:rFonts w:ascii="宋体" w:hAnsi="宋体" w:eastAsia="宋体"/>
          <w:b w:val="0"/>
          <w:i w:val="0"/>
          <w:sz w:val="24"/>
        </w:rPr>
        <w:t>。上层——算法权力精英（数据基础设施所有者/控制者）；中层——技术专家阶层（算法设计者与维护者）；底层——被算法化的公众（进一步分化为"数字中产"和"赛博无产者"）。这一分层结构的关键特征是：底层群体不仅在物质资源上匮乏，更在"被算法看见"的可能性上被系统性边缘化。</w:t>
      </w:r>
    </w:p>
    <w:p>
      <w:pPr>
        <w:spacing w:line="360" w:lineRule="auto"/>
        <w:ind w:firstLine="480"/>
        <w:jc w:val="both"/>
      </w:pPr>
      <w:r>
        <w:rPr>
          <w:rFonts w:ascii="宋体" w:hAnsi="宋体" w:eastAsia="宋体"/>
          <w:b w:val="0"/>
          <w:i w:val="0"/>
          <w:sz w:val="24"/>
        </w:rPr>
        <w:t>其三，</w:t>
      </w:r>
      <w:r>
        <w:rPr>
          <w:rFonts w:ascii="宋体" w:hAnsi="宋体" w:eastAsia="宋体"/>
          <w:b/>
          <w:i w:val="0"/>
          <w:sz w:val="24"/>
        </w:rPr>
        <w:t>三种隐性再生产机制</w:t>
      </w:r>
      <w:r>
        <w:rPr>
          <w:rFonts w:ascii="宋体" w:hAnsi="宋体" w:eastAsia="宋体"/>
          <w:b w:val="0"/>
          <w:i w:val="0"/>
          <w:sz w:val="24"/>
        </w:rPr>
        <w:t>。（1）</w:t>
      </w:r>
      <w:r>
        <w:rPr>
          <w:rFonts w:ascii="宋体" w:hAnsi="宋体" w:eastAsia="宋体"/>
          <w:b/>
          <w:i w:val="0"/>
          <w:sz w:val="24"/>
        </w:rPr>
        <w:t>算法优绩主义</w:t>
      </w:r>
      <w:r>
        <w:rPr>
          <w:rFonts w:ascii="宋体" w:hAnsi="宋体" w:eastAsia="宋体"/>
          <w:b w:val="0"/>
          <w:i w:val="0"/>
          <w:sz w:val="24"/>
        </w:rPr>
        <w:t>：表面公平的算法绩效实质放大初始资源优势，加剧"赢者通吃"。（2）</w:t>
      </w:r>
      <w:r>
        <w:rPr>
          <w:rFonts w:ascii="宋体" w:hAnsi="宋体" w:eastAsia="宋体"/>
          <w:b/>
          <w:i w:val="0"/>
          <w:sz w:val="24"/>
        </w:rPr>
        <w:t>数字继承</w:t>
      </w:r>
      <w:r>
        <w:rPr>
          <w:rFonts w:ascii="宋体" w:hAnsi="宋体" w:eastAsia="宋体"/>
          <w:b w:val="0"/>
          <w:i w:val="0"/>
          <w:sz w:val="24"/>
        </w:rPr>
        <w:t>：数字优势通过家庭数字化协同教养代际传递。（3）</w:t>
      </w:r>
      <w:r>
        <w:rPr>
          <w:rFonts w:ascii="宋体" w:hAnsi="宋体" w:eastAsia="宋体"/>
          <w:b/>
          <w:i w:val="0"/>
          <w:sz w:val="24"/>
        </w:rPr>
        <w:t>算法规训</w:t>
      </w:r>
      <w:r>
        <w:rPr>
          <w:rFonts w:ascii="宋体" w:hAnsi="宋体" w:eastAsia="宋体"/>
          <w:b w:val="0"/>
          <w:i w:val="0"/>
          <w:sz w:val="24"/>
        </w:rPr>
        <w:t>：算法以"客观中立"外衣实施制度性排斥，并使个体自我规训，遮蔽了不平等再生产的本质。</w:t>
      </w:r>
    </w:p>
    <w:p>
      <w:pPr>
        <w:spacing w:line="360" w:lineRule="auto"/>
        <w:ind w:firstLine="480"/>
        <w:jc w:val="both"/>
      </w:pPr>
      <w:r>
        <w:rPr>
          <w:rFonts w:ascii="宋体" w:hAnsi="宋体" w:eastAsia="宋体"/>
          <w:b w:val="0"/>
          <w:i w:val="0"/>
          <w:sz w:val="24"/>
        </w:rPr>
        <w:t>在理论谱系上，上述分析与Gillespie（2014）关于算法的社会性论述及Beer（2009）关于"通过算法的权力"的分析形成了跨文化的理论呼应，共同表明算法权力的运作具有超越特定制度语境的普遍性特征。Pasquale（2015）在其"黑箱社会"的论述中进一步指出，算法的保密性（商业机密）和技术复杂性共同构成了问责的制度障碍。</w:t>
      </w:r>
    </w:p>
    <w:p>
      <w:pPr>
        <w:spacing w:line="360" w:lineRule="auto"/>
        <w:ind w:firstLine="480"/>
        <w:jc w:val="both"/>
      </w:pPr>
      <w:r>
        <w:rPr>
          <w:rFonts w:ascii="宋体" w:hAnsi="宋体" w:eastAsia="宋体"/>
          <w:b w:val="0"/>
          <w:i w:val="0"/>
          <w:sz w:val="24"/>
        </w:rPr>
      </w:r>
      <w:r>
        <w:rPr>
          <w:rFonts w:ascii="宋体" w:hAnsi="宋体" w:eastAsia="宋体"/>
          <w:b/>
          <w:i w:val="0"/>
          <w:sz w:val="24"/>
        </w:rPr>
        <w:t>2. TOE框架与异化风险分析</w:t>
      </w:r>
      <w:r>
        <w:rPr>
          <w:rFonts w:ascii="宋体" w:hAnsi="宋体" w:eastAsia="宋体"/>
          <w:b w:val="0"/>
          <w:i w:val="0"/>
          <w:sz w:val="24"/>
        </w:rPr>
      </w:r>
    </w:p>
    <w:p>
      <w:pPr>
        <w:spacing w:line="360" w:lineRule="auto"/>
        <w:ind w:firstLine="480"/>
        <w:jc w:val="both"/>
      </w:pPr>
      <w:r>
        <w:rPr>
          <w:rFonts w:ascii="宋体" w:hAnsi="宋体" w:eastAsia="宋体"/>
          <w:b w:val="0"/>
          <w:i w:val="0"/>
          <w:sz w:val="24"/>
        </w:rPr>
        <w:t>许小玲和张高荣（2025）基于TOE（技术-组织-环境）框架分析数智技术在公共服务领域的异化风险，提出了"四类异化风险"分类：（1）</w:t>
      </w:r>
      <w:r>
        <w:rPr>
          <w:rFonts w:ascii="宋体" w:hAnsi="宋体" w:eastAsia="宋体"/>
          <w:b/>
          <w:i w:val="0"/>
          <w:sz w:val="24"/>
        </w:rPr>
        <w:t>数字排斥</w:t>
      </w:r>
      <w:r>
        <w:rPr>
          <w:rFonts w:ascii="宋体" w:hAnsi="宋体" w:eastAsia="宋体"/>
          <w:b w:val="0"/>
          <w:i w:val="0"/>
          <w:sz w:val="24"/>
        </w:rPr>
        <w:t>——"沉默少数人"被排除在数字服务之外；（2）</w:t>
      </w:r>
      <w:r>
        <w:rPr>
          <w:rFonts w:ascii="宋体" w:hAnsi="宋体" w:eastAsia="宋体"/>
          <w:b/>
          <w:i w:val="0"/>
          <w:sz w:val="24"/>
        </w:rPr>
        <w:t>工具理性僭越</w:t>
      </w:r>
      <w:r>
        <w:rPr>
          <w:rFonts w:ascii="宋体" w:hAnsi="宋体" w:eastAsia="宋体"/>
          <w:b w:val="0"/>
          <w:i w:val="0"/>
          <w:sz w:val="24"/>
        </w:rPr>
        <w:t>——技术效率逻辑压倒服务正义等公共价值；（3）</w:t>
      </w:r>
      <w:r>
        <w:rPr>
          <w:rFonts w:ascii="宋体" w:hAnsi="宋体" w:eastAsia="宋体"/>
          <w:b/>
          <w:i w:val="0"/>
          <w:sz w:val="24"/>
        </w:rPr>
        <w:t>权责模糊</w:t>
      </w:r>
      <w:r>
        <w:rPr>
          <w:rFonts w:ascii="宋体" w:hAnsi="宋体" w:eastAsia="宋体"/>
          <w:b w:val="0"/>
          <w:i w:val="0"/>
          <w:sz w:val="24"/>
        </w:rPr>
        <w:t>——算法"黑箱"导致责任链条断裂；（4）</w:t>
      </w:r>
      <w:r>
        <w:rPr>
          <w:rFonts w:ascii="宋体" w:hAnsi="宋体" w:eastAsia="宋体"/>
          <w:b/>
          <w:i w:val="0"/>
          <w:sz w:val="24"/>
        </w:rPr>
        <w:t>组织失灵</w:t>
      </w:r>
      <w:r>
        <w:rPr>
          <w:rFonts w:ascii="宋体" w:hAnsi="宋体" w:eastAsia="宋体"/>
          <w:b w:val="0"/>
          <w:i w:val="0"/>
          <w:sz w:val="24"/>
        </w:rPr>
        <w:t>——部门碎片化使协同治理难以落地。</w:t>
      </w:r>
    </w:p>
    <w:p>
      <w:pPr>
        <w:spacing w:line="360" w:lineRule="auto"/>
        <w:ind w:firstLine="480"/>
        <w:jc w:val="both"/>
      </w:pPr>
      <w:r>
        <w:rPr>
          <w:rFonts w:ascii="宋体" w:hAnsi="宋体" w:eastAsia="宋体"/>
          <w:b w:val="0"/>
          <w:i w:val="0"/>
          <w:sz w:val="24"/>
        </w:rPr>
        <w:t>该框架的意义在于：将数字排斥的根源从个体层面的"数字素养不足"扩展至技术系统设计、组织制度安排等多维因素，为理解排斥的"结构性"特征提供了分析工具。</w:t>
      </w:r>
    </w:p>
    <w:p>
      <w:pPr>
        <w:spacing w:line="360" w:lineRule="auto"/>
        <w:ind w:firstLine="480"/>
        <w:jc w:val="both"/>
      </w:pPr>
      <w:r>
        <w:rPr>
          <w:rFonts w:ascii="宋体" w:hAnsi="宋体" w:eastAsia="宋体"/>
          <w:b w:val="0"/>
          <w:i w:val="0"/>
          <w:sz w:val="24"/>
        </w:rPr>
        <w:t>值得补充的是，Winner（1980）关于"技术人工物具有政治性"的经典论断为这一框架提供了更深层的理论根基——技术系统的排斥效应并非偶然的"副作用"，而是内嵌于设计逻辑中的政治选择。Akrich（1992）的"技术脚本"概念进一步解释了这种排斥如何通过技术物的设计预设得以实现：设计者将特定的使用者形象和能力假设"写入"技术物，不符合预设的群体在使用中便遭遇结构性障碍。这一分析路径为理解本文第三章讨论的"适老化设计表面化"困境提供了认识论基础。</w:t>
      </w:r>
    </w:p>
    <w:p>
      <w:pPr>
        <w:spacing w:line="360" w:lineRule="auto"/>
        <w:ind w:firstLine="480"/>
        <w:jc w:val="both"/>
      </w:pPr>
      <w:r>
        <w:rPr>
          <w:rFonts w:ascii="宋体" w:hAnsi="宋体" w:eastAsia="宋体"/>
          <w:b w:val="0"/>
          <w:i w:val="0"/>
          <w:sz w:val="24"/>
        </w:rPr>
      </w:r>
      <w:r>
        <w:rPr>
          <w:rFonts w:ascii="宋体" w:hAnsi="宋体" w:eastAsia="宋体"/>
          <w:b/>
          <w:i w:val="0"/>
          <w:sz w:val="24"/>
        </w:rPr>
        <w:t>3. 积极老龄化与数字包容</w:t>
      </w:r>
      <w:r>
        <w:rPr>
          <w:rFonts w:ascii="宋体" w:hAnsi="宋体" w:eastAsia="宋体"/>
          <w:b w:val="0"/>
          <w:i w:val="0"/>
          <w:sz w:val="24"/>
        </w:rPr>
      </w:r>
    </w:p>
    <w:p>
      <w:pPr>
        <w:spacing w:line="360" w:lineRule="auto"/>
        <w:ind w:firstLine="480"/>
        <w:jc w:val="both"/>
      </w:pPr>
      <w:r>
        <w:rPr>
          <w:rFonts w:ascii="宋体" w:hAnsi="宋体" w:eastAsia="宋体"/>
          <w:b w:val="0"/>
          <w:i w:val="0"/>
          <w:sz w:val="24"/>
        </w:rPr>
        <w:t>青连斌等（2026）提出"老有所为"的中国特色概念，分析数字技术对老年人的"赋能-排斥"双重效应。其核心观点是：数字技术拓展了老年人社会参与的时空边界（远程医疗、智慧养老、在线教育），同时也使高龄/低学历/农村老年人面临更大的数字鸿沟。"数字包容"不是技术问题，而是涉及价值选择、制度设计和权利保障的综合性治理议题。</w:t>
      </w:r>
    </w:p>
    <w:p>
      <w:pPr>
        <w:spacing w:before="120" w:after="60" w:line="360" w:lineRule="auto"/>
        <w:jc w:val="left"/>
      </w:pPr>
      <w:r>
        <w:rPr>
          <w:rFonts w:ascii="楷体" w:hAnsi="楷体" w:eastAsia="楷体"/>
          <w:b/>
          <w:i w:val="0"/>
          <w:sz w:val="24"/>
        </w:rPr>
        <w:t>（三）整合分析框架</w:t>
      </w:r>
    </w:p>
    <w:p>
      <w:pPr>
        <w:spacing w:line="360" w:lineRule="auto"/>
        <w:ind w:firstLine="480"/>
        <w:jc w:val="both"/>
      </w:pPr>
      <w:r>
        <w:rPr>
          <w:rFonts w:ascii="宋体" w:hAnsi="宋体" w:eastAsia="宋体"/>
          <w:b w:val="0"/>
          <w:i w:val="0"/>
          <w:sz w:val="24"/>
        </w:rPr>
        <w:t>综合上述理论资源，本文构建一个"</w:t>
      </w:r>
      <w:r>
        <w:rPr>
          <w:rFonts w:ascii="宋体" w:hAnsi="宋体" w:eastAsia="宋体"/>
          <w:b/>
          <w:i w:val="0"/>
          <w:sz w:val="24"/>
        </w:rPr>
        <w:t>三个层面 × 三种机制</w:t>
      </w:r>
      <w:r>
        <w:rPr>
          <w:rFonts w:ascii="宋体" w:hAnsi="宋体" w:eastAsia="宋体"/>
          <w:b w:val="0"/>
          <w:i w:val="0"/>
          <w:sz w:val="24"/>
        </w:rPr>
        <w:t>"的整合分析框架，其核心结构可用表 1 来概括：</w:t>
      </w:r>
    </w:p>
    <w:p>
      <w:pPr>
        <w:spacing w:line="360" w:lineRule="auto"/>
        <w:ind w:firstLine="480"/>
        <w:jc w:val="both"/>
      </w:pPr>
      <w:r>
        <w:rPr>
          <w:rFonts w:ascii="宋体" w:hAnsi="宋体" w:eastAsia="宋体"/>
          <w:b w:val="0"/>
          <w:i w:val="0"/>
          <w:sz w:val="24"/>
        </w:rPr>
      </w:r>
      <w:r>
        <w:rPr>
          <w:rFonts w:ascii="宋体" w:hAnsi="宋体" w:eastAsia="宋体"/>
          <w:b/>
          <w:i w:val="0"/>
          <w:sz w:val="24"/>
        </w:rPr>
        <w:t>表 1  数智养老服务中数字排斥的整合分析框架</w:t>
      </w:r>
      <w:r>
        <w:rPr>
          <w:rFonts w:ascii="宋体" w:hAnsi="宋体" w:eastAsia="宋体"/>
          <w:b w:val="0"/>
          <w:i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b/>
                <w:sz w:val="24"/>
              </w:rPr>
              <w:t>分析层次</w:t>
            </w:r>
          </w:p>
        </w:tc>
        <w:tc>
          <w:tcPr>
            <w:tcW w:type="dxa" w:w="2161"/>
          </w:tcPr>
          <w:p>
            <w:pPr>
              <w:jc w:val="center"/>
            </w:pPr>
            <w:r/>
            <w:r>
              <w:rPr>
                <w:rFonts w:ascii="宋体" w:hAnsi="宋体"/>
                <w:b/>
                <w:sz w:val="24"/>
              </w:rPr>
              <w:t>核心维度</w:t>
            </w:r>
          </w:p>
        </w:tc>
        <w:tc>
          <w:tcPr>
            <w:tcW w:type="dxa" w:w="2161"/>
          </w:tcPr>
          <w:p>
            <w:pPr>
              <w:jc w:val="center"/>
            </w:pPr>
            <w:r/>
            <w:r>
              <w:rPr>
                <w:rFonts w:ascii="宋体" w:hAnsi="宋体"/>
                <w:b/>
                <w:sz w:val="24"/>
              </w:rPr>
              <w:t>主要排斥形态</w:t>
            </w:r>
          </w:p>
        </w:tc>
        <w:tc>
          <w:tcPr>
            <w:tcW w:type="dxa" w:w="2161"/>
          </w:tcPr>
          <w:p>
            <w:pPr>
              <w:jc w:val="center"/>
            </w:pPr>
            <w:r/>
            <w:r>
              <w:rPr>
                <w:rFonts w:ascii="宋体" w:hAnsi="宋体"/>
                <w:b/>
                <w:sz w:val="24"/>
              </w:rPr>
              <w:t>关联的隐性机制</w:t>
            </w:r>
          </w:p>
        </w:tc>
      </w:tr>
      <w:tr>
        <w:tc>
          <w:tcPr>
            <w:tcW w:type="dxa" w:w="2161"/>
          </w:tcPr>
          <w:p>
            <w:pPr>
              <w:jc w:val="center"/>
            </w:pPr>
            <w:r/>
            <w:r>
              <w:rPr>
                <w:rFonts w:ascii="宋体" w:hAnsi="宋体"/>
                <w:sz w:val="24"/>
              </w:rPr>
              <w:t>技术层面 (Technology)</w:t>
            </w:r>
          </w:p>
        </w:tc>
        <w:tc>
          <w:tcPr>
            <w:tcW w:type="dxa" w:w="2161"/>
          </w:tcPr>
          <w:p>
            <w:pPr>
              <w:jc w:val="left"/>
            </w:pPr>
            <w:r/>
            <w:r>
              <w:rPr>
                <w:rFonts w:ascii="宋体" w:hAnsi="宋体"/>
                <w:sz w:val="24"/>
              </w:rPr>
              <w:t>算法权力与适老化设计</w:t>
            </w:r>
          </w:p>
        </w:tc>
        <w:tc>
          <w:tcPr>
            <w:tcW w:type="dxa" w:w="2161"/>
          </w:tcPr>
          <w:p>
            <w:pPr>
              <w:jc w:val="left"/>
            </w:pPr>
            <w:r/>
            <w:r>
              <w:rPr>
                <w:rFonts w:ascii="宋体" w:hAnsi="宋体"/>
                <w:sz w:val="24"/>
              </w:rPr>
              <w:t>算法行为分级、适老化设计表面化、语义对齐偏差、模型幻觉风险</w:t>
            </w:r>
          </w:p>
        </w:tc>
        <w:tc>
          <w:tcPr>
            <w:tcW w:type="dxa" w:w="2161"/>
          </w:tcPr>
          <w:p>
            <w:pPr>
              <w:jc w:val="left"/>
            </w:pPr>
            <w:r/>
            <w:r>
              <w:rPr>
                <w:rFonts w:ascii="宋体" w:hAnsi="宋体"/>
                <w:sz w:val="24"/>
              </w:rPr>
              <w:t>算法优绩主义——算法的分类排序逻辑催生基于数据产出量的资源分配不均</w:t>
            </w:r>
          </w:p>
        </w:tc>
      </w:tr>
      <w:tr>
        <w:tc>
          <w:tcPr>
            <w:tcW w:type="dxa" w:w="2161"/>
          </w:tcPr>
          <w:p>
            <w:pPr>
              <w:jc w:val="center"/>
            </w:pPr>
            <w:r/>
            <w:r>
              <w:rPr>
                <w:rFonts w:ascii="宋体" w:hAnsi="宋体"/>
                <w:sz w:val="24"/>
              </w:rPr>
              <w:t>组织层面 (Organization)</w:t>
            </w:r>
          </w:p>
        </w:tc>
        <w:tc>
          <w:tcPr>
            <w:tcW w:type="dxa" w:w="2161"/>
          </w:tcPr>
          <w:p>
            <w:pPr>
              <w:jc w:val="left"/>
            </w:pPr>
            <w:r/>
            <w:r>
              <w:rPr>
                <w:rFonts w:ascii="宋体" w:hAnsi="宋体"/>
                <w:sz w:val="24"/>
              </w:rPr>
              <w:t>数据壁垒与制度刚性</w:t>
            </w:r>
          </w:p>
        </w:tc>
        <w:tc>
          <w:tcPr>
            <w:tcW w:type="dxa" w:w="2161"/>
          </w:tcPr>
          <w:p>
            <w:pPr>
              <w:jc w:val="left"/>
            </w:pPr>
            <w:r/>
            <w:r>
              <w:rPr>
                <w:rFonts w:ascii="宋体" w:hAnsi="宋体"/>
                <w:sz w:val="24"/>
              </w:rPr>
              <w:t>数据互通率低、部门分割、工具理性僭越、政策刚性标准</w:t>
            </w:r>
          </w:p>
        </w:tc>
        <w:tc>
          <w:tcPr>
            <w:tcW w:type="dxa" w:w="2161"/>
          </w:tcPr>
          <w:p>
            <w:pPr>
              <w:jc w:val="left"/>
            </w:pPr>
            <w:r/>
            <w:r>
              <w:rPr>
                <w:rFonts w:ascii="宋体" w:hAnsi="宋体"/>
                <w:sz w:val="24"/>
              </w:rPr>
              <w:t>数字继承（间接）——组织分割放大个体数字劣势的代际传递效应</w:t>
            </w:r>
          </w:p>
        </w:tc>
      </w:tr>
      <w:tr>
        <w:tc>
          <w:tcPr>
            <w:tcW w:type="dxa" w:w="2161"/>
          </w:tcPr>
          <w:p>
            <w:pPr>
              <w:jc w:val="center"/>
            </w:pPr>
            <w:r/>
            <w:r>
              <w:rPr>
                <w:rFonts w:ascii="宋体" w:hAnsi="宋体"/>
                <w:sz w:val="24"/>
              </w:rPr>
              <w:t>个体层面 (Individual)</w:t>
            </w:r>
          </w:p>
        </w:tc>
        <w:tc>
          <w:tcPr>
            <w:tcW w:type="dxa" w:w="2161"/>
          </w:tcPr>
          <w:p>
            <w:pPr>
              <w:jc w:val="left"/>
            </w:pPr>
            <w:r/>
            <w:r>
              <w:rPr>
                <w:rFonts w:ascii="宋体" w:hAnsi="宋体"/>
                <w:sz w:val="24"/>
              </w:rPr>
              <w:t>能力鸿沟与代际分化</w:t>
            </w:r>
          </w:p>
        </w:tc>
        <w:tc>
          <w:tcPr>
            <w:tcW w:type="dxa" w:w="2161"/>
          </w:tcPr>
          <w:p>
            <w:pPr>
              <w:jc w:val="left"/>
            </w:pPr>
            <w:r/>
            <w:r>
              <w:rPr>
                <w:rFonts w:ascii="宋体" w:hAnsi="宋体"/>
                <w:sz w:val="24"/>
              </w:rPr>
              <w:t>AIQ/数字素养鸿沟、疾病-能力错配、数字继承梯度、民族地区语言障碍、设备操作能力不足</w:t>
            </w:r>
          </w:p>
        </w:tc>
        <w:tc>
          <w:tcPr>
            <w:tcW w:type="dxa" w:w="2161"/>
          </w:tcPr>
          <w:p>
            <w:pPr>
              <w:jc w:val="left"/>
            </w:pPr>
            <w:r/>
            <w:r>
              <w:rPr>
                <w:rFonts w:ascii="宋体" w:hAnsi="宋体"/>
                <w:sz w:val="24"/>
              </w:rPr>
              <w:t>三种机制共同作用——算法优绩主义产生行为分级、数字继承固化阶层差异、算法规训使排斥内化</w:t>
            </w:r>
          </w:p>
        </w:tc>
      </w:tr>
    </w:tbl>
    <w:p/>
    <w:p>
      <w:pPr>
        <w:spacing w:line="360" w:lineRule="auto"/>
        <w:ind w:firstLine="480"/>
        <w:jc w:val="both"/>
      </w:pPr>
      <w:r>
        <w:rPr>
          <w:rFonts w:ascii="宋体" w:hAnsi="宋体" w:eastAsia="宋体"/>
          <w:b w:val="0"/>
          <w:i w:val="0"/>
          <w:sz w:val="24"/>
        </w:rPr>
        <w:t>上述三个层面的排斥形态通过三种隐性再生产机制（</w:t>
      </w:r>
      <w:r>
        <w:rPr>
          <w:rFonts w:ascii="宋体" w:hAnsi="宋体" w:eastAsia="宋体"/>
          <w:b/>
          <w:i w:val="0"/>
          <w:sz w:val="24"/>
        </w:rPr>
        <w:t>算法优绩主义、数字继承、算法规训</w:t>
      </w:r>
      <w:r>
        <w:rPr>
          <w:rFonts w:ascii="宋体" w:hAnsi="宋体" w:eastAsia="宋体"/>
          <w:b w:val="0"/>
          <w:i w:val="0"/>
          <w:sz w:val="24"/>
        </w:rPr>
        <w:t>）相互强化，形成一个自我维持的排斥结构，最终指向</w:t>
      </w:r>
      <w:r>
        <w:rPr>
          <w:rFonts w:ascii="宋体" w:hAnsi="宋体" w:eastAsia="宋体"/>
          <w:b/>
          <w:i w:val="0"/>
          <w:sz w:val="24"/>
        </w:rPr>
        <w:t>包容性治理路径</w:t>
      </w:r>
      <w:r>
        <w:rPr>
          <w:rFonts w:ascii="宋体" w:hAnsi="宋体" w:eastAsia="宋体"/>
          <w:b w:val="0"/>
          <w:i w:val="0"/>
          <w:sz w:val="24"/>
        </w:rPr>
        <w:t>（技术包容、组织协同、能力建设、制度保障）。传统的数字鸿沟研究关注的是"能不能用"的问题，而本文提出的框架进一步关注"被不被看见"的问题——当老年人不会使用智能设备时，他们就从养老服务系统的"视域"中消失。</w:t>
      </w:r>
    </w:p>
    <w:p>
      <w:pPr>
        <w:spacing w:line="360" w:lineRule="auto"/>
        <w:ind w:firstLine="480"/>
        <w:jc w:val="both"/>
      </w:pPr>
      <w:r>
        <w:rPr>
          <w:rFonts w:ascii="宋体" w:hAnsi="宋体" w:eastAsia="宋体"/>
          <w:b w:val="0"/>
          <w:i w:val="0"/>
          <w:sz w:val="24"/>
        </w:rPr>
      </w:r>
      <w:r>
        <w:rPr>
          <w:rFonts w:ascii="宋体" w:hAnsi="宋体" w:eastAsia="宋体"/>
          <w:b/>
          <w:i w:val="0"/>
          <w:sz w:val="24"/>
        </w:rPr>
        <w:t>概念的操作化定义。</w:t>
      </w:r>
      <w:r>
        <w:rPr>
          <w:rFonts w:ascii="宋体" w:hAnsi="宋体" w:eastAsia="宋体"/>
          <w:b w:val="0"/>
          <w:i w:val="0"/>
          <w:sz w:val="24"/>
        </w:rPr>
        <w:t xml:space="preserve"> 在展开类型学分析之前，有必要对本文的核心概念"数字排斥"提供明确的</w:t>
      </w:r>
      <w:r>
        <w:rPr>
          <w:rFonts w:ascii="宋体" w:hAnsi="宋体" w:eastAsia="宋体"/>
          <w:b/>
          <w:i w:val="0"/>
          <w:sz w:val="24"/>
        </w:rPr>
        <w:t>操作化定义</w:t>
      </w:r>
      <w:r>
        <w:rPr>
          <w:rFonts w:ascii="宋体" w:hAnsi="宋体" w:eastAsia="宋体"/>
          <w:b w:val="0"/>
          <w:i w:val="0"/>
          <w:sz w:val="24"/>
        </w:rPr>
        <w:t>。在本文的分析框架中，"数字排斥"指：</w:t>
      </w:r>
      <w:r>
        <w:rPr>
          <w:rFonts w:ascii="宋体" w:hAnsi="宋体" w:eastAsia="宋体"/>
          <w:b/>
          <w:i w:val="0"/>
          <w:sz w:val="24"/>
        </w:rPr>
        <w:t>由技术系统架构设计、算法分类逻辑与组织制度安排共同造成的、特定老年群体被系统性置于数智养老服务可及范围之外的排斥形态，其特征为被排斥者难以觉察排斥的发生机制，且难以通过正式申诉渠道获得救济</w:t>
      </w:r>
      <w:r>
        <w:rPr>
          <w:rFonts w:ascii="宋体" w:hAnsi="宋体" w:eastAsia="宋体"/>
          <w:b w:val="0"/>
          <w:i w:val="0"/>
          <w:sz w:val="24"/>
        </w:rPr>
        <w:t>。这一定义包含三个可操作的判断维度：（1）</w:t>
      </w:r>
      <w:r>
        <w:rPr>
          <w:rFonts w:ascii="宋体" w:hAnsi="宋体" w:eastAsia="宋体"/>
          <w:b/>
          <w:i w:val="0"/>
          <w:sz w:val="24"/>
        </w:rPr>
        <w:t>排斥的机制维度</w:t>
      </w:r>
      <w:r>
        <w:rPr>
          <w:rFonts w:ascii="宋体" w:hAnsi="宋体" w:eastAsia="宋体"/>
          <w:b w:val="0"/>
          <w:i w:val="0"/>
          <w:sz w:val="24"/>
        </w:rPr>
        <w:t>——排斥源于技术、组织、个体三个层面的叠加作用，而非单一因素；（2）</w:t>
      </w:r>
      <w:r>
        <w:rPr>
          <w:rFonts w:ascii="宋体" w:hAnsi="宋体" w:eastAsia="宋体"/>
          <w:b/>
          <w:i w:val="0"/>
          <w:sz w:val="24"/>
        </w:rPr>
        <w:t>排斥的可见性维度</w:t>
      </w:r>
      <w:r>
        <w:rPr>
          <w:rFonts w:ascii="宋体" w:hAnsi="宋体" w:eastAsia="宋体"/>
          <w:b w:val="0"/>
          <w:i w:val="0"/>
          <w:sz w:val="24"/>
        </w:rPr>
        <w:t>——排斥以技术"客观中立"的外衣呈现，被排斥者倾向于自我归因而非系统归因；（3）</w:t>
      </w:r>
      <w:r>
        <w:rPr>
          <w:rFonts w:ascii="宋体" w:hAnsi="宋体" w:eastAsia="宋体"/>
          <w:b/>
          <w:i w:val="0"/>
          <w:sz w:val="24"/>
        </w:rPr>
        <w:t>排斥的救济维度</w:t>
      </w:r>
      <w:r>
        <w:rPr>
          <w:rFonts w:ascii="宋体" w:hAnsi="宋体" w:eastAsia="宋体"/>
          <w:b w:val="0"/>
          <w:i w:val="0"/>
          <w:sz w:val="24"/>
        </w:rPr>
        <w:t>——当排斥发生时，缺乏有效的问责路径和申诉机制。上述三个维度共同构成了本文后续分析中判断"数字排斥"是否发生、如何运作的操作标准。</w:t>
      </w:r>
    </w:p>
    <w:p>
      <w:pPr>
        <w:spacing w:line="360" w:lineRule="auto"/>
        <w:ind w:firstLine="480"/>
        <w:jc w:val="both"/>
      </w:pPr>
      <w:r>
        <w:rPr>
          <w:rFonts w:ascii="宋体" w:hAnsi="宋体" w:eastAsia="宋体"/>
          <w:b w:val="0"/>
          <w:i w:val="0"/>
          <w:sz w:val="24"/>
        </w:rPr>
        <w:t>该框架的核心主张是：</w:t>
      </w:r>
      <w:r>
        <w:rPr>
          <w:rFonts w:ascii="宋体" w:hAnsi="宋体" w:eastAsia="宋体"/>
          <w:b/>
          <w:i w:val="0"/>
          <w:sz w:val="24"/>
        </w:rPr>
        <w:t>数智养老服务中的数字排斥已超越传统"接入鸿沟"，多重排斥形态共存，且出现了新的隐蔽形式</w:t>
      </w:r>
      <w:r>
        <w:rPr>
          <w:rFonts w:ascii="宋体" w:hAnsi="宋体" w:eastAsia="宋体"/>
          <w:b w:val="0"/>
          <w:i w:val="0"/>
          <w:sz w:val="24"/>
        </w:rPr>
        <w:t>。传统数字鸿沟研究关注的是"能不能用"的问题，而本文提出的框架进一步关注"被不被看见"的问题——当老年人不会使用智能设备时，他们就从养老服务系统的"视域"中消失，成为"沉默的少数"（许小玲 &amp; 张高荣，2025）。这种排斥的隐蔽性在于：它以技术"客观中立"的面目出现，使被排斥者将排斥归因于自身能力的不足而非系统设计的不公（算法规训机制），从而丧失了批判和抵抗的认知基础。</w:t>
      </w:r>
    </w:p>
    <w:p>
      <w:pPr>
        <w:spacing w:before="200" w:after="80" w:line="360" w:lineRule="auto"/>
        <w:jc w:val="left"/>
      </w:pPr>
      <w:r>
        <w:rPr>
          <w:rFonts w:ascii="黑体" w:hAnsi="黑体" w:eastAsia="黑体"/>
          <w:b/>
          <w:i w:val="0"/>
          <w:sz w:val="24"/>
        </w:rPr>
        <w:t>三、数字排斥的类型学分析：三维排斥形态</w:t>
      </w:r>
    </w:p>
    <w:p>
      <w:pPr>
        <w:spacing w:before="120" w:after="60" w:line="360" w:lineRule="auto"/>
        <w:jc w:val="left"/>
      </w:pPr>
      <w:r>
        <w:rPr>
          <w:rFonts w:ascii="楷体" w:hAnsi="楷体" w:eastAsia="楷体"/>
          <w:b/>
          <w:i w:val="0"/>
          <w:sz w:val="24"/>
        </w:rPr>
        <w:t>（一）技术维度的排斥：算法权力与适老化困境</w:t>
      </w:r>
    </w:p>
    <w:p>
      <w:pPr>
        <w:spacing w:line="360" w:lineRule="auto"/>
        <w:ind w:firstLine="480"/>
        <w:jc w:val="both"/>
      </w:pPr>
      <w:r>
        <w:rPr>
          <w:rFonts w:ascii="宋体" w:hAnsi="宋体" w:eastAsia="宋体"/>
          <w:b w:val="0"/>
          <w:i w:val="0"/>
          <w:sz w:val="24"/>
        </w:rPr>
        <w:t>技术系统并非中性的服务传递通道，其设计逻辑本身就内置了排斥机制。</w:t>
      </w:r>
    </w:p>
    <w:p>
      <w:pPr>
        <w:spacing w:line="360" w:lineRule="auto"/>
        <w:ind w:firstLine="480"/>
        <w:jc w:val="both"/>
      </w:pPr>
      <w:r>
        <w:rPr>
          <w:rFonts w:ascii="宋体" w:hAnsi="宋体" w:eastAsia="宋体"/>
          <w:b w:val="0"/>
          <w:i w:val="0"/>
          <w:sz w:val="24"/>
        </w:rPr>
      </w:r>
      <w:r>
        <w:rPr>
          <w:rFonts w:ascii="宋体" w:hAnsi="宋体" w:eastAsia="宋体"/>
          <w:b/>
          <w:i w:val="0"/>
          <w:sz w:val="24"/>
        </w:rPr>
        <w:t>第一，算法行为分级与资源配置不均。</w:t>
      </w:r>
      <w:r>
        <w:rPr>
          <w:rFonts w:ascii="宋体" w:hAnsi="宋体" w:eastAsia="宋体"/>
          <w:b w:val="0"/>
          <w:i w:val="0"/>
          <w:sz w:val="24"/>
        </w:rPr>
        <w:t xml:space="preserve"> 智慧养老平台普遍采用算法对老年人进行需求评估和服务分级。表面上看，这是"精准匹配"的体现，但实际上，算法的训练数据和分类标准天然偏向"可数字化"的需求——能产生数据的行为（运动步数、心率监测、用药记录）被优先识别，而无法被量化的需求（情感陪伴、尊严维护、文化偏好）则被系统性地降级。贾小双和梁玉成（2025）指出，算法通过"行为分级"和"人群分类"重塑了生活机会分配逻辑，在养老服务领域，这意味着"产生数据多的老人获得更多服务资源"，而"沉默的少数"在算法视域中消失。</w:t>
      </w:r>
    </w:p>
    <w:p>
      <w:pPr>
        <w:spacing w:line="360" w:lineRule="auto"/>
        <w:ind w:firstLine="480"/>
        <w:jc w:val="both"/>
      </w:pPr>
      <w:r>
        <w:rPr>
          <w:rFonts w:ascii="宋体" w:hAnsi="宋体" w:eastAsia="宋体"/>
          <w:b w:val="0"/>
          <w:i w:val="0"/>
          <w:sz w:val="24"/>
        </w:rPr>
      </w:r>
      <w:r>
        <w:rPr>
          <w:rFonts w:ascii="宋体" w:hAnsi="宋体" w:eastAsia="宋体"/>
          <w:b/>
          <w:i w:val="0"/>
          <w:sz w:val="24"/>
        </w:rPr>
        <w:t>第二，适老化设计的"表面化"困境。</w:t>
      </w:r>
      <w:r>
        <w:rPr>
          <w:rFonts w:ascii="宋体" w:hAnsi="宋体" w:eastAsia="宋体"/>
          <w:b w:val="0"/>
          <w:i w:val="0"/>
          <w:sz w:val="24"/>
        </w:rPr>
        <w:t xml:space="preserve"> 当前智慧养老终端的适老化改造多停留于"大字版""大图标"等浅层适配，缺乏对老年人认知特征、使用习惯和文化背景的深度理解。以民族地区为例，李漠颖（2026）研究显示，内蒙古老年人期望智能设备提供蒙语版本界面，但当前绝大多数平台的"适老化改造"仅是放大字体，完全未考虑少数民族语言需求。这揭示了一个关键问题：</w:t>
      </w:r>
      <w:r>
        <w:rPr>
          <w:rFonts w:ascii="宋体" w:hAnsi="宋体" w:eastAsia="宋体"/>
          <w:b/>
          <w:i w:val="0"/>
          <w:sz w:val="24"/>
        </w:rPr>
        <w:t>适老化设计如果不考虑群体的异质性，本身就是一种排斥——它预设了"老年人"是同质的、以汉语为母语的城市中产群体</w:t>
      </w:r>
      <w:r>
        <w:rPr>
          <w:rFonts w:ascii="宋体" w:hAnsi="宋体" w:eastAsia="宋体"/>
          <w:b w:val="0"/>
          <w:i w:val="0"/>
          <w:sz w:val="24"/>
        </w:rPr>
        <w:t>。</w:t>
      </w:r>
    </w:p>
    <w:p>
      <w:pPr>
        <w:spacing w:line="360" w:lineRule="auto"/>
        <w:ind w:firstLine="480"/>
        <w:jc w:val="both"/>
      </w:pPr>
      <w:r>
        <w:rPr>
          <w:rFonts w:ascii="宋体" w:hAnsi="宋体" w:eastAsia="宋体"/>
          <w:b w:val="0"/>
          <w:i w:val="0"/>
          <w:sz w:val="24"/>
        </w:rPr>
      </w:r>
      <w:r>
        <w:rPr>
          <w:rFonts w:ascii="宋体" w:hAnsi="宋体" w:eastAsia="宋体"/>
          <w:b/>
          <w:i w:val="0"/>
          <w:sz w:val="24"/>
        </w:rPr>
        <w:t>第三，"语义对齐"偏差与模型幻觉风险。</w:t>
      </w:r>
      <w:r>
        <w:rPr>
          <w:rFonts w:ascii="宋体" w:hAnsi="宋体" w:eastAsia="宋体"/>
          <w:b w:val="0"/>
          <w:i w:val="0"/>
          <w:sz w:val="24"/>
        </w:rPr>
        <w:t xml:space="preserve"> 张福磊（2026）从城市治理大模型的角度指出，人工智能系统在将物理世界现象"转译"为数字空间信号时，存在"语义对齐"的根本性困难——行政话语体系与技术编码体系之间并非一一映射，偏差不可避免。在养老服务场景中，这一偏差可能表现为：智能系统将老年人的"情绪低落"错误归类为"健康指标异常"，将"文化偏好"误判为"无理需求"，导致服务响应失当，进而使老年人对智能系统失去信任，主动退出数字服务体系。</w:t>
      </w:r>
    </w:p>
    <w:p>
      <w:pPr>
        <w:spacing w:before="120" w:after="60" w:line="360" w:lineRule="auto"/>
        <w:jc w:val="left"/>
      </w:pPr>
      <w:r>
        <w:rPr>
          <w:rFonts w:ascii="楷体" w:hAnsi="楷体" w:eastAsia="楷体"/>
          <w:b/>
          <w:i w:val="0"/>
          <w:sz w:val="24"/>
        </w:rPr>
        <w:t>（二）组织维度的排斥：数据壁垒与制度刚性</w:t>
      </w:r>
    </w:p>
    <w:p>
      <w:pPr>
        <w:spacing w:line="360" w:lineRule="auto"/>
        <w:ind w:firstLine="480"/>
        <w:jc w:val="both"/>
      </w:pPr>
      <w:r>
        <w:rPr>
          <w:rFonts w:ascii="宋体" w:hAnsi="宋体" w:eastAsia="宋体"/>
          <w:b w:val="0"/>
          <w:i w:val="0"/>
          <w:sz w:val="24"/>
        </w:rPr>
        <w:t>组织层面的排斥源于制度安排与组织流程的"锁定效应"——既有的部门分割、层级壁垒和考核机制与数智化要求之间存在系统性的不匹配。</w:t>
      </w:r>
    </w:p>
    <w:p>
      <w:pPr>
        <w:spacing w:line="360" w:lineRule="auto"/>
        <w:ind w:firstLine="480"/>
        <w:jc w:val="both"/>
      </w:pPr>
      <w:r>
        <w:rPr>
          <w:rFonts w:ascii="宋体" w:hAnsi="宋体" w:eastAsia="宋体"/>
          <w:b w:val="0"/>
          <w:i w:val="0"/>
          <w:sz w:val="24"/>
        </w:rPr>
      </w:r>
      <w:r>
        <w:rPr>
          <w:rFonts w:ascii="宋体" w:hAnsi="宋体" w:eastAsia="宋体"/>
          <w:b/>
          <w:i w:val="0"/>
          <w:sz w:val="24"/>
        </w:rPr>
        <w:t>第一，数据壁垒导致"技术在场、服务缺席"。</w:t>
      </w:r>
      <w:r>
        <w:rPr>
          <w:rFonts w:ascii="宋体" w:hAnsi="宋体" w:eastAsia="宋体"/>
          <w:b w:val="0"/>
          <w:i w:val="0"/>
          <w:sz w:val="24"/>
        </w:rPr>
        <w:t xml:space="preserve"> 李漠颖（2026）对内蒙古金穗社区"183"模式的实证研究揭示了一个关键数据：跨系统数据互通率仅为23.8%，73.4%的机构仍使用独立数据库。这意味着——尽管智慧养老平台上显示"所有老人已被覆盖"，但健康档案、医保数据、社区服务记录之间互不相通，所谓的"精准服务"实际上是在信息碎片化基础上的盲目投放。这不是单纯的技术问题（API接口、数据格式均可标准化），而是制度问题——部门利益分割、数据安全责任归属不清、共享激励缺失。</w:t>
      </w:r>
    </w:p>
    <w:p>
      <w:pPr>
        <w:spacing w:line="360" w:lineRule="auto"/>
        <w:ind w:firstLine="480"/>
        <w:jc w:val="both"/>
      </w:pPr>
      <w:r>
        <w:rPr>
          <w:rFonts w:ascii="宋体" w:hAnsi="宋体" w:eastAsia="宋体"/>
          <w:b w:val="0"/>
          <w:i w:val="0"/>
          <w:sz w:val="24"/>
        </w:rPr>
      </w:r>
      <w:r>
        <w:rPr>
          <w:rFonts w:ascii="宋体" w:hAnsi="宋体" w:eastAsia="宋体"/>
          <w:b/>
          <w:i w:val="0"/>
          <w:sz w:val="24"/>
        </w:rPr>
        <w:t>第二，政策"刚性标准"与基层执行的张力。</w:t>
      </w:r>
      <w:r>
        <w:rPr>
          <w:rFonts w:ascii="宋体" w:hAnsi="宋体" w:eastAsia="宋体"/>
          <w:b w:val="0"/>
          <w:i w:val="0"/>
          <w:sz w:val="24"/>
        </w:rPr>
        <w:t xml:space="preserve"> 曹科岩和方之瑜（2026）的研究表明，养老护理员"3年企业工作经历"等"一刀切"的刚性标准，忽视了不同专业（工科vs文科vs护理）对实践需求的差异，也忽视了博士培养周期与企业经历的时间冲突。在数智化背景下，这种刚性标准与数智技术要求的灵活性之间存在更深层的矛盾——智慧养老要求的人才能力是动态更新的（如AI辅助工具的操作每周都有新版本），但政策标准往往以"静态门槛"形式出现，无法适应技术迭代的速度。</w:t>
      </w:r>
    </w:p>
    <w:p>
      <w:pPr>
        <w:spacing w:line="360" w:lineRule="auto"/>
        <w:ind w:firstLine="480"/>
        <w:jc w:val="both"/>
      </w:pPr>
      <w:r>
        <w:rPr>
          <w:rFonts w:ascii="宋体" w:hAnsi="宋体" w:eastAsia="宋体"/>
          <w:b w:val="0"/>
          <w:i w:val="0"/>
          <w:sz w:val="24"/>
        </w:rPr>
      </w:r>
      <w:r>
        <w:rPr>
          <w:rFonts w:ascii="宋体" w:hAnsi="宋体" w:eastAsia="宋体"/>
          <w:b/>
          <w:i w:val="0"/>
          <w:sz w:val="24"/>
        </w:rPr>
        <w:t>第三，工具理性对公共服务价值的僭越。</w:t>
      </w:r>
      <w:r>
        <w:rPr>
          <w:rFonts w:ascii="宋体" w:hAnsi="宋体" w:eastAsia="宋体"/>
          <w:b w:val="0"/>
          <w:i w:val="0"/>
          <w:sz w:val="24"/>
        </w:rPr>
        <w:t xml:space="preserve"> 许小玲和张高荣（2025）将"工具理性僭越"列为数智化在公共服务领域的核心异化风险——当技术效率成为核心KPI时，服务的质量、尊严和正义维度被牺牲。在养老服务中，这一风险尤为突出：智能监测设备的部署使"异常报警"数量成为考核指标，但被报警的老人是否得到了有尊严的关怀回应，则不在考核范围之内。效率逻辑对关怀逻辑的替代，使养老服务从"人与人之间的照护关系"退化为"系统与被监测对象之间的数据关系"。</w:t>
      </w:r>
    </w:p>
    <w:p>
      <w:pPr>
        <w:spacing w:before="120" w:after="60" w:line="360" w:lineRule="auto"/>
        <w:jc w:val="left"/>
      </w:pPr>
      <w:r>
        <w:rPr>
          <w:rFonts w:ascii="楷体" w:hAnsi="楷体" w:eastAsia="楷体"/>
          <w:b/>
          <w:i w:val="0"/>
          <w:sz w:val="24"/>
        </w:rPr>
        <w:t>（三）个体维度的排斥：能力鸿沟与代际分化</w:t>
      </w:r>
    </w:p>
    <w:p>
      <w:pPr>
        <w:spacing w:line="360" w:lineRule="auto"/>
        <w:ind w:firstLine="480"/>
        <w:jc w:val="both"/>
      </w:pPr>
      <w:r>
        <w:rPr>
          <w:rFonts w:ascii="宋体" w:hAnsi="宋体" w:eastAsia="宋体"/>
          <w:b w:val="0"/>
          <w:i w:val="0"/>
          <w:sz w:val="24"/>
        </w:rPr>
        <w:t>个体层面的排斥是最直观的，也是现有研究着力最多的维度，但其深层结构——</w:t>
      </w:r>
      <w:r>
        <w:rPr>
          <w:rFonts w:ascii="宋体" w:hAnsi="宋体" w:eastAsia="宋体"/>
          <w:b/>
          <w:i w:val="0"/>
          <w:sz w:val="24"/>
        </w:rPr>
        <w:t>数字优势的代际传递与阶层固化</w:t>
      </w:r>
      <w:r>
        <w:rPr>
          <w:rFonts w:ascii="宋体" w:hAnsi="宋体" w:eastAsia="宋体"/>
          <w:b w:val="0"/>
          <w:i w:val="0"/>
          <w:sz w:val="24"/>
        </w:rPr>
        <w:t>——揭示的问题比表面看到的更为严峻。</w:t>
      </w:r>
    </w:p>
    <w:p>
      <w:pPr>
        <w:spacing w:line="360" w:lineRule="auto"/>
        <w:ind w:firstLine="480"/>
        <w:jc w:val="both"/>
      </w:pPr>
      <w:r>
        <w:rPr>
          <w:rFonts w:ascii="宋体" w:hAnsi="宋体" w:eastAsia="宋体"/>
          <w:b w:val="0"/>
          <w:i w:val="0"/>
          <w:sz w:val="24"/>
        </w:rPr>
      </w:r>
      <w:r>
        <w:rPr>
          <w:rFonts w:ascii="宋体" w:hAnsi="宋体" w:eastAsia="宋体"/>
          <w:b/>
          <w:i w:val="0"/>
          <w:sz w:val="24"/>
        </w:rPr>
        <w:t>第一，"双重短缺"的人才困境。</w:t>
      </w:r>
      <w:r>
        <w:rPr>
          <w:rFonts w:ascii="宋体" w:hAnsi="宋体" w:eastAsia="宋体"/>
          <w:b w:val="0"/>
          <w:i w:val="0"/>
          <w:sz w:val="24"/>
        </w:rPr>
        <w:t xml:space="preserve"> 曹科岩和方之瑜（2026）提供了两个极具冲击力的数据：2050年养老护理员缺口达94%（需1600万/仅100万）；当前在岗护理员的智能设备操作率普遍低于40%（血糖仪25.6%、智能如厕设备38.9%）。这意味着养老服务面临"双重短缺"——既缺数量，更缺"能用数字工具的人"。更值得关注的是，在岗护工的结构特征是"三高两低"：女性86.2%、40岁以上81.6%、高中以下78.1%、从业5年以下71.2%、月收入6000元以下73.6%。这揭示了一个恶性循环——</w:t>
      </w:r>
      <w:r>
        <w:rPr>
          <w:rFonts w:ascii="宋体" w:hAnsi="宋体" w:eastAsia="宋体"/>
          <w:b/>
          <w:i w:val="0"/>
          <w:sz w:val="24"/>
        </w:rPr>
        <w:t>低薪→低素质劳动力→低数字素养→低服务质量→低行业吸引力→低薪</w:t>
      </w:r>
      <w:r>
        <w:rPr>
          <w:rFonts w:ascii="宋体" w:hAnsi="宋体" w:eastAsia="宋体"/>
          <w:b w:val="0"/>
          <w:i w:val="0"/>
          <w:sz w:val="24"/>
        </w:rPr>
        <w:t>。</w:t>
      </w:r>
    </w:p>
    <w:p>
      <w:pPr>
        <w:spacing w:line="360" w:lineRule="auto"/>
        <w:ind w:firstLine="480"/>
        <w:jc w:val="both"/>
      </w:pPr>
      <w:r>
        <w:rPr>
          <w:rFonts w:ascii="宋体" w:hAnsi="宋体" w:eastAsia="宋体"/>
          <w:b w:val="0"/>
          <w:i w:val="0"/>
          <w:sz w:val="24"/>
        </w:rPr>
      </w:r>
      <w:r>
        <w:rPr>
          <w:rFonts w:ascii="宋体" w:hAnsi="宋体" w:eastAsia="宋体"/>
          <w:b/>
          <w:i w:val="0"/>
          <w:sz w:val="24"/>
        </w:rPr>
        <w:t>第二，老年群体的内部分化。</w:t>
      </w:r>
      <w:r>
        <w:rPr>
          <w:rFonts w:ascii="宋体" w:hAnsi="宋体" w:eastAsia="宋体"/>
          <w:b w:val="0"/>
          <w:i w:val="0"/>
          <w:sz w:val="24"/>
        </w:rPr>
        <w:t xml:space="preserve"> 老年人并非同质群体，其内部的数字排斥形态因年龄梯度、照护依赖度和城乡分布而呈现显著差异：</w:t>
      </w:r>
    </w:p>
    <w:p>
      <w:pPr>
        <w:spacing w:line="360" w:lineRule="auto"/>
        <w:ind w:firstLine="480"/>
        <w:jc w:val="both"/>
      </w:pPr>
      <w:r>
        <w:rPr>
          <w:rFonts w:ascii="宋体" w:hAnsi="宋体" w:eastAsia="宋体"/>
          <w:b w:val="0"/>
          <w:i w:val="0"/>
          <w:sz w:val="24"/>
        </w:rPr>
        <w:t>（1）</w:t>
      </w:r>
      <w:r>
        <w:rPr>
          <w:rFonts w:ascii="宋体" w:hAnsi="宋体" w:eastAsia="宋体"/>
          <w:b/>
          <w:i w:val="0"/>
          <w:sz w:val="24"/>
        </w:rPr>
        <w:t>年龄梯度</w:t>
      </w:r>
      <w:r>
        <w:rPr>
          <w:rFonts w:ascii="宋体" w:hAnsi="宋体" w:eastAsia="宋体"/>
          <w:b w:val="0"/>
          <w:i w:val="0"/>
          <w:sz w:val="24"/>
        </w:rPr>
        <w:t>——低龄老年人（60-69岁）中相当比例具有基本的智能手机使用能力，其排斥主要是"服务匹配不精准"的问题；中龄老年人（70-79岁）的排斥开始叠加认知能力下降和健康恶化因素；高龄老年人（80岁以上）面临的是"系统性的设计与使用脱节"——智能终端的交互范式本身未以高龄人群的认知特征为设计基准。</w:t>
      </w:r>
    </w:p>
    <w:p>
      <w:pPr>
        <w:spacing w:line="360" w:lineRule="auto"/>
        <w:ind w:firstLine="480"/>
        <w:jc w:val="both"/>
      </w:pPr>
      <w:r>
        <w:rPr>
          <w:rFonts w:ascii="宋体" w:hAnsi="宋体" w:eastAsia="宋体"/>
          <w:b w:val="0"/>
          <w:i w:val="0"/>
          <w:sz w:val="24"/>
        </w:rPr>
        <w:t>（2）</w:t>
      </w:r>
      <w:r>
        <w:rPr>
          <w:rFonts w:ascii="宋体" w:hAnsi="宋体" w:eastAsia="宋体"/>
          <w:b/>
          <w:i w:val="0"/>
          <w:sz w:val="24"/>
        </w:rPr>
        <w:t>照护依赖度</w:t>
      </w:r>
      <w:r>
        <w:rPr>
          <w:rFonts w:ascii="宋体" w:hAnsi="宋体" w:eastAsia="宋体"/>
          <w:b w:val="0"/>
          <w:i w:val="0"/>
          <w:sz w:val="24"/>
        </w:rPr>
        <w:t>——自理老人主要面临"数字素养不足"型排斥，而失能/半失能老人面临的是"数字素养不足+照护者数字替代能力不足"的双重排斥——即使老人本人无法操作智能设备，如果护理员也缺乏数字能力，则排斥无法通过"他人代操作"来缓解。</w:t>
      </w:r>
    </w:p>
    <w:p>
      <w:pPr>
        <w:spacing w:line="360" w:lineRule="auto"/>
        <w:ind w:firstLine="480"/>
        <w:jc w:val="both"/>
      </w:pPr>
      <w:r>
        <w:rPr>
          <w:rFonts w:ascii="宋体" w:hAnsi="宋体" w:eastAsia="宋体"/>
          <w:b w:val="0"/>
          <w:i w:val="0"/>
          <w:sz w:val="24"/>
        </w:rPr>
        <w:t>（3）</w:t>
      </w:r>
      <w:r>
        <w:rPr>
          <w:rFonts w:ascii="宋体" w:hAnsi="宋体" w:eastAsia="宋体"/>
          <w:b/>
          <w:i w:val="0"/>
          <w:sz w:val="24"/>
        </w:rPr>
        <w:t>城乡分化</w:t>
      </w:r>
      <w:r>
        <w:rPr>
          <w:rFonts w:ascii="宋体" w:hAnsi="宋体" w:eastAsia="宋体"/>
          <w:b w:val="0"/>
          <w:i w:val="0"/>
          <w:sz w:val="24"/>
        </w:rPr>
        <w:t>——城市老年人至少具备"接触机会"（社区有智慧养老终端、子女可提供数字反哺），而农村老年人往往同时面临"接触机会缺失+社会支持薄弱+基础设施不足"的三重叠加，其数字排斥的深度远高于城市同龄人。这种内部分化意味着，任何"一刀切"的包容措施都可能是无效的——低龄城市老人需要的"服务精准化"与高龄农村老人需要的"基本接入保障"是性质不同的排斥问题。</w:t>
      </w:r>
    </w:p>
    <w:p>
      <w:pPr>
        <w:spacing w:line="360" w:lineRule="auto"/>
        <w:ind w:firstLine="480"/>
        <w:jc w:val="both"/>
      </w:pPr>
      <w:r>
        <w:rPr>
          <w:rFonts w:ascii="宋体" w:hAnsi="宋体" w:eastAsia="宋体"/>
          <w:b w:val="0"/>
          <w:i w:val="0"/>
          <w:sz w:val="24"/>
        </w:rPr>
      </w:r>
      <w:r>
        <w:rPr>
          <w:rFonts w:ascii="宋体" w:hAnsi="宋体" w:eastAsia="宋体"/>
          <w:b/>
          <w:i w:val="0"/>
          <w:sz w:val="24"/>
        </w:rPr>
        <w:t>第三，AIQ分化与"数字继承"效应。</w:t>
      </w:r>
      <w:r>
        <w:rPr>
          <w:rFonts w:ascii="宋体" w:hAnsi="宋体" w:eastAsia="宋体"/>
          <w:b w:val="0"/>
          <w:i w:val="0"/>
          <w:sz w:val="24"/>
        </w:rPr>
        <w:t xml:space="preserve"> 本文对AIQ（AI商数，Artificial Intelligence Quotient）的操作化定义是：</w:t>
      </w:r>
      <w:r>
        <w:rPr>
          <w:rFonts w:ascii="宋体" w:hAnsi="宋体" w:eastAsia="宋体"/>
          <w:b/>
          <w:i w:val="0"/>
          <w:sz w:val="24"/>
        </w:rPr>
        <w:t>老年人使用AI赋能养老终端进行信息获取、交互操作和问题解决的基本能力，涵盖对智能设备操作界面的识别与操作、对AI输出结果的判断力以及在技术故障时的基础应对能力</w:t>
      </w:r>
      <w:r>
        <w:rPr>
          <w:rFonts w:ascii="宋体" w:hAnsi="宋体" w:eastAsia="宋体"/>
          <w:b w:val="0"/>
          <w:i w:val="0"/>
          <w:sz w:val="24"/>
        </w:rPr>
        <w:t>。AIQ与"数字素养"既有联系又有区别：数字素养指一般性的数字工具使用与信息处理能力，AIQ则在数字素养基础上增加了"人与智能系统协作"的特定维度，强调对算法输出结果的批判性接收与适应性调整能力。贾小双和梁玉成（2025）提出的"数字继承"概念进一步揭示了个体能力差异的阶层根源：数字素养不是个体孤立习得的技能，而是家庭数字资源禀赋的代际传递结果。城市中产家庭的老年人，其子女不仅能够提供经济支持购买智能设备，更能通过"家庭数字化协同教养"帮助老人掌握使用技能；而农村留守老人的子女本身可能处于数字底层，无力提供这种"数字反哺"。</w:t>
      </w:r>
    </w:p>
    <w:p>
      <w:pPr>
        <w:spacing w:line="360" w:lineRule="auto"/>
        <w:ind w:firstLine="480"/>
        <w:jc w:val="both"/>
      </w:pPr>
      <w:r>
        <w:rPr>
          <w:rFonts w:ascii="宋体" w:hAnsi="宋体" w:eastAsia="宋体"/>
          <w:b w:val="0"/>
          <w:i w:val="0"/>
          <w:sz w:val="24"/>
        </w:rPr>
      </w:r>
      <w:r>
        <w:rPr>
          <w:rFonts w:ascii="宋体" w:hAnsi="宋体" w:eastAsia="宋体"/>
          <w:b/>
          <w:i w:val="0"/>
          <w:sz w:val="24"/>
        </w:rPr>
        <w:t>第四，"赋能-排斥"的非对称效应。</w:t>
      </w:r>
      <w:r>
        <w:rPr>
          <w:rFonts w:ascii="宋体" w:hAnsi="宋体" w:eastAsia="宋体"/>
          <w:b w:val="0"/>
          <w:i w:val="0"/>
          <w:sz w:val="24"/>
        </w:rPr>
        <w:t xml:space="preserve"> 青连斌等（2026）提出的"数字化浪潮下银发群体的双重效应"观点深刻指出：同一项数字技术（如在线问诊），对高教育/低龄老年人产生"赋能"效应，对低教育/高龄老年人产生"排斥"效应。这是因为技术使用的门槛效应是非线性的——对具备基本数字素养的群体，每增加一项新功能都是"赋能"；而对不具备基本数字素养的群体，每增加一项新功能都是"增加的障碍"。当前智慧养老的发展路径恰恰在放大这种非对称性：更多功能、更复杂的交互、更丰富的数据——这些"进步"对数字素养高的老年人是福音，对数字素养低的老年人则是持续的边缘化。</w:t>
      </w:r>
    </w:p>
    <w:p>
      <w:pPr>
        <w:spacing w:line="360" w:lineRule="auto"/>
        <w:ind w:firstLine="480"/>
        <w:jc w:val="both"/>
      </w:pPr>
      <w:r>
        <w:rPr>
          <w:rFonts w:ascii="宋体" w:hAnsi="宋体" w:eastAsia="宋体"/>
          <w:b w:val="0"/>
          <w:i w:val="0"/>
          <w:sz w:val="24"/>
        </w:rPr>
      </w:r>
      <w:r>
        <w:rPr>
          <w:rFonts w:ascii="宋体" w:hAnsi="宋体" w:eastAsia="宋体"/>
          <w:b/>
          <w:i w:val="0"/>
          <w:sz w:val="24"/>
        </w:rPr>
        <w:t>第五，老年人数字服务需求的多元性。</w:t>
      </w:r>
      <w:r>
        <w:rPr>
          <w:rFonts w:ascii="宋体" w:hAnsi="宋体" w:eastAsia="宋体"/>
          <w:b w:val="0"/>
          <w:i w:val="0"/>
          <w:sz w:val="24"/>
        </w:rPr>
        <w:t xml:space="preserve"> 需要指出的是，老年人对数字服务的需求并非同质的"更多数字化"，而是高度分化的：（1）部分低龄、高教育水平老年人群体对智慧养老有积极需求，期望通过数字技术提升生活便利性和社会参与度；（2）但相当数量的高龄、低教育老年人需要的不是"更智能的设备"，而是"更稳定的人工服务"——智能手环的跌倒报警功能对他们而言意义有限，而定期上门探访的社区护理员才是核心需求；（3）还有一部分老年人处于"数字冷漠"状态——不排斥但也无主动学习意愿，其服务需求的满足完全依赖人工通道。这种需求多元性的存在，对"技术中心主义"的治理逻辑形成了根本性质疑：如果老年人的核心诉求不是"更智能"而是"更可靠、更人性"，那么以技术部署为核心的治理策略本身就存在方向性偏差。</w:t>
      </w:r>
    </w:p>
    <w:p>
      <w:pPr>
        <w:spacing w:before="200" w:after="80" w:line="360" w:lineRule="auto"/>
        <w:jc w:val="left"/>
      </w:pPr>
      <w:r>
        <w:rPr>
          <w:rFonts w:ascii="黑体" w:hAnsi="黑体" w:eastAsia="黑体"/>
          <w:b/>
          <w:i w:val="0"/>
          <w:sz w:val="24"/>
        </w:rPr>
        <w:t>四、隐性排斥的生成机制：多重排斥形态的交叉与新型隐蔽形式</w:t>
      </w:r>
    </w:p>
    <w:p>
      <w:pPr>
        <w:spacing w:line="360" w:lineRule="auto"/>
        <w:ind w:firstLine="480"/>
        <w:jc w:val="both"/>
      </w:pPr>
      <w:r>
        <w:rPr>
          <w:rFonts w:ascii="宋体" w:hAnsi="宋体" w:eastAsia="宋体"/>
          <w:b w:val="0"/>
          <w:i w:val="0"/>
          <w:sz w:val="24"/>
        </w:rPr>
        <w:t>三维排斥形态不是孤立存在的，它们通过三种深层机制相互强化，形成一个自我维持的排斥结构。需要说明的是，</w:t>
      </w:r>
      <w:r>
        <w:rPr>
          <w:rFonts w:ascii="宋体" w:hAnsi="宋体" w:eastAsia="宋体"/>
          <w:b/>
          <w:i w:val="0"/>
          <w:sz w:val="24"/>
        </w:rPr>
        <w:t>隐性排斥并非对制度排斥的历史取代，而是一种并存与叠加</w:t>
      </w:r>
      <w:r>
        <w:rPr>
          <w:rFonts w:ascii="宋体" w:hAnsi="宋体" w:eastAsia="宋体"/>
          <w:b w:val="0"/>
          <w:i w:val="0"/>
          <w:sz w:val="24"/>
        </w:rPr>
        <w:t>——传统的制度排斥（如政策覆盖盲区、服务设施空间分布不均）并未消失，而是在数智化条件下增加了以技术遮蔽为特征的新形态。老年人群体中，既有人因政策制度原因被排斥，也有人因算法分类、数据缺失等机制被边缘化，更多情况下两类排斥相互交织。</w:t>
      </w:r>
    </w:p>
    <w:p>
      <w:pPr>
        <w:spacing w:line="360" w:lineRule="auto"/>
        <w:ind w:firstLine="480"/>
        <w:jc w:val="both"/>
      </w:pPr>
      <w:r>
        <w:rPr>
          <w:rFonts w:ascii="宋体" w:hAnsi="宋体" w:eastAsia="宋体"/>
          <w:b w:val="0"/>
          <w:i w:val="0"/>
          <w:sz w:val="24"/>
        </w:rPr>
        <w:t>在分析具体机制之前，有必要阐明"排斥形态"与"生成机制"之间的交叉映射关系。技术维度的排斥（算法分级、适配不足）主要与算法优绩主义机制相关联——算法的分类和排序逻辑直接催生了基于数据产出量的资源分配不均；组织维度的排斥（数据壁垒、制度刚性）更多受到数字继承机制的间接影响——组织层面的分割和不协调放大了个体层面的数字劣势代际传递效应；个体维度的排斥（素养差距、代际分化）则是三种机制共同作用的结果——算法优绩主义产生行为分级，数字继承固化阶层差异，算法规训使个体将排斥内化。这种"三维×三机制"的交叉分析表明，数字排斥不是一个层面的单一问题，而是技术设计逻辑、组织制度安排和个体能力禀赋在三重机制作用下相互缠绕、层层叠加的结构性现象。</w:t>
      </w:r>
    </w:p>
    <w:p>
      <w:pPr>
        <w:spacing w:before="120" w:after="60" w:line="360" w:lineRule="auto"/>
        <w:jc w:val="left"/>
      </w:pPr>
      <w:r>
        <w:rPr>
          <w:rFonts w:ascii="楷体" w:hAnsi="楷体" w:eastAsia="楷体"/>
          <w:b/>
          <w:i w:val="0"/>
          <w:sz w:val="24"/>
        </w:rPr>
        <w:t>（一）算法优绩主义：表面公平下的马太效应</w:t>
      </w:r>
    </w:p>
    <w:p>
      <w:pPr>
        <w:spacing w:line="360" w:lineRule="auto"/>
        <w:ind w:firstLine="480"/>
        <w:jc w:val="both"/>
      </w:pPr>
      <w:r>
        <w:rPr>
          <w:rFonts w:ascii="宋体" w:hAnsi="宋体" w:eastAsia="宋体"/>
          <w:b w:val="0"/>
          <w:i w:val="0"/>
          <w:sz w:val="24"/>
        </w:rPr>
        <w:t>算法优绩主义的核心逻辑是：用"绩效"的客观性遮蔽"起点"的不平等。智慧养老平台的服务分配算法看似"公平"——谁的需求评估分高，谁获得更多资源——但需求评估分本身受教育程度、数字素养、家庭支持等因素的系统性影响。一个能熟练使用智能手机自行完成健康自评的城市老人，与一个不会使用手机、需要护理员代为操作评估问卷的农村老人，在算法系统中获得的服务优先级不可同日而语。</w:t>
      </w:r>
    </w:p>
    <w:p>
      <w:pPr>
        <w:spacing w:line="360" w:lineRule="auto"/>
        <w:ind w:firstLine="480"/>
        <w:jc w:val="both"/>
      </w:pPr>
      <w:r>
        <w:rPr>
          <w:rFonts w:ascii="宋体" w:hAnsi="宋体" w:eastAsia="宋体"/>
          <w:b w:val="0"/>
          <w:i w:val="0"/>
          <w:sz w:val="24"/>
        </w:rPr>
        <w:t>这意味着：</w:t>
      </w:r>
      <w:r>
        <w:rPr>
          <w:rFonts w:ascii="宋体" w:hAnsi="宋体" w:eastAsia="宋体"/>
          <w:b/>
          <w:i w:val="0"/>
          <w:sz w:val="24"/>
        </w:rPr>
        <w:t>算法不是在识别"真实需求"，而是在识别"已经被数字化的需求"</w:t>
      </w:r>
      <w:r>
        <w:rPr>
          <w:rFonts w:ascii="宋体" w:hAnsi="宋体" w:eastAsia="宋体"/>
          <w:b w:val="0"/>
          <w:i w:val="0"/>
          <w:sz w:val="24"/>
        </w:rPr>
        <w:t>。那些无法将自身需求"翻译"为数字信号的老年人——据许小玲和张高荣（2025）估计，在"数字排斥"中"沉默的少数"——在算法视域中压根不存在。他们的"被看见"前提是"被数字化"，而"被数字化"的前提恰是他们最缺乏的能力。</w:t>
      </w:r>
    </w:p>
    <w:p>
      <w:pPr>
        <w:spacing w:line="360" w:lineRule="auto"/>
        <w:ind w:firstLine="480"/>
        <w:jc w:val="both"/>
      </w:pPr>
      <w:r>
        <w:rPr>
          <w:rFonts w:ascii="宋体" w:hAnsi="宋体" w:eastAsia="宋体"/>
          <w:b w:val="0"/>
          <w:i w:val="0"/>
          <w:sz w:val="24"/>
        </w:rPr>
        <w:t>算法优绩主义使排斥呈现出</w:t>
      </w:r>
      <w:r>
        <w:rPr>
          <w:rFonts w:ascii="宋体" w:hAnsi="宋体" w:eastAsia="宋体"/>
          <w:b/>
          <w:i w:val="0"/>
          <w:sz w:val="24"/>
        </w:rPr>
        <w:t>自强化特征</w:t>
      </w:r>
      <w:r>
        <w:rPr>
          <w:rFonts w:ascii="宋体" w:hAnsi="宋体" w:eastAsia="宋体"/>
          <w:b w:val="0"/>
          <w:i w:val="0"/>
          <w:sz w:val="24"/>
        </w:rPr>
        <w:t>：越能使用数字服务的老人→产生越多数据→获得越精准的匹配→越满意→越愿意使用→系统越倾向于优先分配资源给他们。反之，越不能使用数字服务的老人→数据越稀疏→服务匹配越粗糙→越不满意→越不愿意使用→系统越忽视他们。最终，服务资源从"需求驱动"异化为"数据驱动"——不是谁最需要谁获得，而是谁产生最多数据谁获得。</w:t>
      </w:r>
    </w:p>
    <w:p>
      <w:pPr>
        <w:spacing w:before="120" w:after="60" w:line="360" w:lineRule="auto"/>
        <w:jc w:val="left"/>
      </w:pPr>
      <w:r>
        <w:rPr>
          <w:rFonts w:ascii="楷体" w:hAnsi="楷体" w:eastAsia="楷体"/>
          <w:b/>
          <w:i w:val="0"/>
          <w:sz w:val="24"/>
        </w:rPr>
        <w:t>（二）数字继承：代际传递中的阶层固化</w:t>
      </w:r>
    </w:p>
    <w:p>
      <w:pPr>
        <w:spacing w:line="360" w:lineRule="auto"/>
        <w:ind w:firstLine="480"/>
        <w:jc w:val="both"/>
      </w:pPr>
      <w:r>
        <w:rPr>
          <w:rFonts w:ascii="宋体" w:hAnsi="宋体" w:eastAsia="宋体"/>
          <w:b w:val="0"/>
          <w:i w:val="0"/>
          <w:sz w:val="24"/>
        </w:rPr>
        <w:t>养老服务中的数字排斥不纯然是"年龄问题"，更深层的是"阶层问题"。贾小双和梁玉成（2025）提出的"数字继承"机制揭示了一个被"年龄叙事"遮蔽的真相：</w:t>
      </w:r>
      <w:r>
        <w:rPr>
          <w:rFonts w:ascii="宋体" w:hAnsi="宋体" w:eastAsia="宋体"/>
          <w:b/>
          <w:i w:val="0"/>
          <w:sz w:val="24"/>
        </w:rPr>
        <w:t>老年人内部的不平等正在加剧，而数字技术在以隐蔽的方式固化这种不平等</w:t>
      </w:r>
      <w:r>
        <w:rPr>
          <w:rFonts w:ascii="宋体" w:hAnsi="宋体" w:eastAsia="宋体"/>
          <w:b w:val="0"/>
          <w:i w:val="0"/>
          <w:sz w:val="24"/>
        </w:rPr>
        <w:t>。</w:t>
      </w:r>
    </w:p>
    <w:p>
      <w:pPr>
        <w:spacing w:line="360" w:lineRule="auto"/>
        <w:ind w:firstLine="480"/>
        <w:jc w:val="both"/>
      </w:pPr>
      <w:r>
        <w:rPr>
          <w:rFonts w:ascii="宋体" w:hAnsi="宋体" w:eastAsia="宋体"/>
          <w:b w:val="0"/>
          <w:i w:val="0"/>
          <w:sz w:val="24"/>
        </w:rPr>
        <w:t>数字继承的运作逻辑是：子女的数字素养与家庭经济条件→家庭数字化协同水平→老年人数字技能的获取机会→老年人数智服务的受益程度。具体而言：</w:t>
      </w:r>
    </w:p>
    <w:p>
      <w:pPr>
        <w:spacing w:line="360" w:lineRule="auto"/>
        <w:ind w:firstLine="0"/>
      </w:pPr>
      <w:r>
        <w:rPr>
          <w:rFonts w:ascii="宋体" w:hAnsi="宋体" w:eastAsia="宋体"/>
          <w:b w:val="0"/>
          <w:i w:val="0"/>
          <w:sz w:val="24"/>
        </w:rPr>
        <w:t>• **城市中产家庭**：子女高数字素养→为父母配置智能设备并持续提供"数字反哺"→老年人数字技能持续提升→充分享受智慧养老红利</w:t>
      </w:r>
    </w:p>
    <w:p>
      <w:pPr>
        <w:spacing w:line="360" w:lineRule="auto"/>
        <w:ind w:firstLine="0"/>
      </w:pPr>
      <w:r>
        <w:rPr>
          <w:rFonts w:ascii="宋体" w:hAnsi="宋体" w:eastAsia="宋体"/>
          <w:b w:val="0"/>
          <w:i w:val="0"/>
          <w:sz w:val="24"/>
        </w:rPr>
        <w:t>• **农村/城市贫困家庭**：子女本身数字素养有限或外出务工→无暇/无力提供"数字反哺"→老年人数字技能停滞甚至退化→被数智养老服务边缘化</w:t>
      </w:r>
    </w:p>
    <w:p>
      <w:pPr>
        <w:spacing w:line="360" w:lineRule="auto"/>
        <w:ind w:firstLine="480"/>
        <w:jc w:val="both"/>
      </w:pPr>
      <w:r>
        <w:rPr>
          <w:rFonts w:ascii="宋体" w:hAnsi="宋体" w:eastAsia="宋体"/>
          <w:b w:val="0"/>
          <w:i w:val="0"/>
          <w:sz w:val="24"/>
        </w:rPr>
        <w:t>这种代际传递效应意味着，</w:t>
      </w:r>
      <w:r>
        <w:rPr>
          <w:rFonts w:ascii="宋体" w:hAnsi="宋体" w:eastAsia="宋体"/>
          <w:b/>
          <w:i w:val="0"/>
          <w:sz w:val="24"/>
        </w:rPr>
        <w:t>数智化转型若不加以干预，将加速而非缓解养老服务中的不平等</w:t>
      </w:r>
      <w:r>
        <w:rPr>
          <w:rFonts w:ascii="宋体" w:hAnsi="宋体" w:eastAsia="宋体"/>
          <w:b w:val="0"/>
          <w:i w:val="0"/>
          <w:sz w:val="24"/>
        </w:rPr>
        <w:t>。它不是用技术平等地服务所有人，而是让已经处于优势阶层的人获得更多技术红利，让已经处于劣势的人被技术进一步疏离——这正是"隐性再生产"在养老服务领域的具体体现。</w:t>
      </w:r>
    </w:p>
    <w:p>
      <w:pPr>
        <w:spacing w:before="120" w:after="60" w:line="360" w:lineRule="auto"/>
        <w:jc w:val="left"/>
      </w:pPr>
      <w:r>
        <w:rPr>
          <w:rFonts w:ascii="楷体" w:hAnsi="楷体" w:eastAsia="楷体"/>
          <w:b/>
          <w:i w:val="0"/>
          <w:sz w:val="24"/>
        </w:rPr>
        <w:t>（三）算法规训：在"技术关怀"名义下的制度化排斥</w:t>
      </w:r>
    </w:p>
    <w:p>
      <w:pPr>
        <w:spacing w:line="360" w:lineRule="auto"/>
        <w:ind w:firstLine="480"/>
        <w:jc w:val="both"/>
      </w:pPr>
      <w:r>
        <w:rPr>
          <w:rFonts w:ascii="宋体" w:hAnsi="宋体" w:eastAsia="宋体"/>
          <w:b w:val="0"/>
          <w:i w:val="0"/>
          <w:sz w:val="24"/>
        </w:rPr>
        <w:t>算法规训是三种机制中最隐蔽的，也是最具批判性价值的理论贡献。本文对"算法规训"的操作化定义是：</w:t>
      </w:r>
      <w:r>
        <w:rPr>
          <w:rFonts w:ascii="宋体" w:hAnsi="宋体" w:eastAsia="宋体"/>
          <w:b/>
          <w:i w:val="0"/>
          <w:sz w:val="24"/>
        </w:rPr>
        <w:t>算法系统通过对个体的持续性行为监测、自动分类评估和反馈引导，使个体内化算法的评价标准并将其作为自我规训和判断依据的过程。该过程包含三个层面：（1）技术层面——算法标准被设定为行为评估的唯一参照系；（2）行为层面——个体为获得系统正向评价而主动调整自身行为以适应算法预期；（3）认知层面——个体将算法排斥归因于自身能力不足而非系统设计不公，从而丧失批判意识。</w:t>
      </w:r>
      <w:r>
        <w:rPr>
          <w:rFonts w:ascii="宋体" w:hAnsi="宋体" w:eastAsia="宋体"/>
          <w:b w:val="0"/>
          <w:i w:val="0"/>
          <w:sz w:val="24"/>
        </w:rPr>
      </w:r>
    </w:p>
    <w:p>
      <w:pPr>
        <w:spacing w:line="360" w:lineRule="auto"/>
        <w:ind w:firstLine="480"/>
        <w:jc w:val="both"/>
      </w:pPr>
      <w:r>
        <w:rPr>
          <w:rFonts w:ascii="宋体" w:hAnsi="宋体" w:eastAsia="宋体"/>
          <w:b w:val="0"/>
          <w:i w:val="0"/>
          <w:sz w:val="24"/>
        </w:rPr>
        <w:t>在养老服务中，算法规训的运作体现为：</w:t>
      </w:r>
    </w:p>
    <w:p>
      <w:pPr>
        <w:spacing w:line="360" w:lineRule="auto"/>
        <w:ind w:firstLine="480"/>
        <w:jc w:val="both"/>
      </w:pPr>
      <w:r>
        <w:rPr>
          <w:rFonts w:ascii="宋体" w:hAnsi="宋体" w:eastAsia="宋体"/>
          <w:b w:val="0"/>
          <w:i w:val="0"/>
          <w:sz w:val="24"/>
        </w:rPr>
      </w:r>
      <w:r>
        <w:rPr>
          <w:rFonts w:ascii="宋体" w:hAnsi="宋体" w:eastAsia="宋体"/>
          <w:b/>
          <w:i w:val="0"/>
          <w:sz w:val="24"/>
        </w:rPr>
        <w:t>第一，行为标准化与"好老人"标准的算法定义。</w:t>
      </w:r>
      <w:r>
        <w:rPr>
          <w:rFonts w:ascii="宋体" w:hAnsi="宋体" w:eastAsia="宋体"/>
          <w:b w:val="0"/>
          <w:i w:val="0"/>
          <w:sz w:val="24"/>
        </w:rPr>
        <w:t xml:space="preserve"> 智能手环/监测系统不仅记录数据，更在无形中定义着"什么是一个好老人"——按时吃药、规律作息、情绪稳定、活动量适中的老人被标记为"健康老人"或"低风险老人"，获得更少的关注和资源；不规律、不配合、情绪波动的老人被标记为"高风险老人"，但得到的往往是更多的监控而非更多的关怀。老年人的行为在"健康管理"的名义下被纳入一套持续评估和分类系统，偏离"算法标准"的行为被标记为"异常"并触发干预。</w:t>
      </w:r>
    </w:p>
    <w:p>
      <w:pPr>
        <w:spacing w:line="360" w:lineRule="auto"/>
        <w:ind w:firstLine="480"/>
        <w:jc w:val="both"/>
      </w:pPr>
      <w:r>
        <w:rPr>
          <w:rFonts w:ascii="宋体" w:hAnsi="宋体" w:eastAsia="宋体"/>
          <w:b w:val="0"/>
          <w:i w:val="0"/>
          <w:sz w:val="24"/>
        </w:rPr>
      </w:r>
      <w:r>
        <w:rPr>
          <w:rFonts w:ascii="宋体" w:hAnsi="宋体" w:eastAsia="宋体"/>
          <w:b/>
          <w:i w:val="0"/>
          <w:sz w:val="24"/>
        </w:rPr>
        <w:t>第二，自我归因与合法化遮蔽。</w:t>
      </w:r>
      <w:r>
        <w:rPr>
          <w:rFonts w:ascii="宋体" w:hAnsi="宋体" w:eastAsia="宋体"/>
          <w:b w:val="0"/>
          <w:i w:val="0"/>
          <w:sz w:val="24"/>
        </w:rPr>
        <w:t xml:space="preserve"> 当老年人无法完成智能设备的操作时，系统将其归因为"用户操作错误"而非"系统设计不友好"。老年人逐渐接受这一归因——"是我老了，学不会了"——从而将结构性排斥转化为个体能力不足的自我认知。许小玲和张高荣（2025）更是一针见血地指出，在技术"客观中立"的外衣下，被排斥者将排斥归因于自身，"使不平等再生产的本质被合法化遮蔽"。</w:t>
      </w:r>
    </w:p>
    <w:p>
      <w:pPr>
        <w:spacing w:line="360" w:lineRule="auto"/>
        <w:ind w:firstLine="480"/>
        <w:jc w:val="both"/>
      </w:pPr>
      <w:r>
        <w:rPr>
          <w:rFonts w:ascii="宋体" w:hAnsi="宋体" w:eastAsia="宋体"/>
          <w:b w:val="0"/>
          <w:i w:val="0"/>
          <w:sz w:val="24"/>
        </w:rPr>
      </w:r>
      <w:r>
        <w:rPr>
          <w:rFonts w:ascii="宋体" w:hAnsi="宋体" w:eastAsia="宋体"/>
          <w:b/>
          <w:i w:val="0"/>
          <w:sz w:val="24"/>
        </w:rPr>
        <w:t>第三，责任归属的算法化规避。</w:t>
      </w:r>
      <w:r>
        <w:rPr>
          <w:rFonts w:ascii="宋体" w:hAnsi="宋体" w:eastAsia="宋体"/>
          <w:b w:val="0"/>
          <w:i w:val="0"/>
          <w:sz w:val="24"/>
        </w:rPr>
        <w:t xml:space="preserve"> 张福磊（2026）从城市治理大模型的角度分析了"算法黑箱+人机耦合→问责链条断裂"的风险：当一个智慧养老系统做出错误判断时（如将有自杀风险的老人评估为"低风险"），责任应归于算法设计者、系统运营者还是基层护理员？这种责任归属的模糊性使系统层面的不公难以被追责，排斥得以在制度真空中持续运转。Pasquale（2015）在其"黑箱社会"的论述中进一步指出，算法的保密性（商业机密）和技术复杂性共同构成了问责的制度障碍，这一判断对养老服务领域的算法治理具有直接的警示意义。</w:t>
      </w:r>
    </w:p>
    <w:p>
      <w:pPr>
        <w:spacing w:before="120" w:after="60" w:line="360" w:lineRule="auto"/>
        <w:jc w:val="left"/>
      </w:pPr>
      <w:r>
        <w:rPr>
          <w:rFonts w:ascii="楷体" w:hAnsi="楷体" w:eastAsia="楷体"/>
          <w:b/>
          <w:i w:val="0"/>
          <w:sz w:val="24"/>
        </w:rPr>
        <w:t>（四）技术中心主义的政治经济学分析：深层成因追问</w:t>
      </w:r>
    </w:p>
    <w:p>
      <w:pPr>
        <w:spacing w:line="360" w:lineRule="auto"/>
        <w:ind w:firstLine="480"/>
        <w:jc w:val="both"/>
      </w:pPr>
      <w:r>
        <w:rPr>
          <w:rFonts w:ascii="宋体" w:hAnsi="宋体" w:eastAsia="宋体"/>
          <w:b w:val="0"/>
          <w:i w:val="0"/>
          <w:sz w:val="24"/>
        </w:rPr>
        <w:t>在三维排斥形态和三种隐性机制之上，还有一个更为深层的问题需要追问：为什么当前的数智养老服务治理实践呈现系统性"技术中心主义"倾向？这不仅是政策选择的问题，更有其政治经济学的结构性成因。</w:t>
      </w:r>
    </w:p>
    <w:p>
      <w:pPr>
        <w:spacing w:line="360" w:lineRule="auto"/>
        <w:ind w:firstLine="480"/>
        <w:jc w:val="both"/>
      </w:pPr>
      <w:r>
        <w:rPr>
          <w:rFonts w:ascii="宋体" w:hAnsi="宋体" w:eastAsia="宋体"/>
          <w:b w:val="0"/>
          <w:i w:val="0"/>
          <w:sz w:val="24"/>
        </w:rPr>
      </w:r>
      <w:r>
        <w:rPr>
          <w:rFonts w:ascii="宋体" w:hAnsi="宋体" w:eastAsia="宋体"/>
          <w:b/>
          <w:i w:val="0"/>
          <w:sz w:val="24"/>
        </w:rPr>
        <w:t>第一，技术供给侧的资本逻辑。</w:t>
      </w:r>
      <w:r>
        <w:rPr>
          <w:rFonts w:ascii="宋体" w:hAnsi="宋体" w:eastAsia="宋体"/>
          <w:b w:val="0"/>
          <w:i w:val="0"/>
          <w:sz w:val="24"/>
        </w:rPr>
        <w:t xml:space="preserve"> 智慧养老产业是科技创新资本的重点布局领域，其盈利模式建立在设备销售、平台订阅和数据服务的基础上。这意味着，技术供应商的利益驱动天然偏向"更多部署"而非"更好适配"——卖出更多智能手环、上线更多平台功能，比确保每个老人都能有效使用产品更符合商业逻辑。当技术供给由市场资本主导时，包容性设计这种高成本、低直接回报的投入必然被边缘化。</w:t>
      </w:r>
    </w:p>
    <w:p>
      <w:pPr>
        <w:spacing w:line="360" w:lineRule="auto"/>
        <w:ind w:firstLine="480"/>
        <w:jc w:val="both"/>
      </w:pPr>
      <w:r>
        <w:rPr>
          <w:rFonts w:ascii="宋体" w:hAnsi="宋体" w:eastAsia="宋体"/>
          <w:b w:val="0"/>
          <w:i w:val="0"/>
          <w:sz w:val="24"/>
        </w:rPr>
      </w:r>
      <w:r>
        <w:rPr>
          <w:rFonts w:ascii="宋体" w:hAnsi="宋体" w:eastAsia="宋体"/>
          <w:b/>
          <w:i w:val="0"/>
          <w:sz w:val="24"/>
        </w:rPr>
        <w:t>第二，政绩考核中的"可见性"偏好。</w:t>
      </w:r>
      <w:r>
        <w:rPr>
          <w:rFonts w:ascii="宋体" w:hAnsi="宋体" w:eastAsia="宋体"/>
          <w:b w:val="0"/>
          <w:i w:val="0"/>
          <w:sz w:val="24"/>
        </w:rPr>
        <w:t xml:space="preserve"> 在地方政府的政绩考核体系中，"智慧养老平台覆盖率""智能设备配备率"等指标易于量化和展示，而"服务满意度""排斥率降低"等质量指标难以测量和比较。这种"可见性"偏好驱动地方政府的治理策略偏向技术部署——数智化设备的"在场"可以被报告为政绩，而设备的实际使用效能则缺乏有效的考核压力。</w:t>
      </w:r>
    </w:p>
    <w:p>
      <w:pPr>
        <w:spacing w:line="360" w:lineRule="auto"/>
        <w:ind w:firstLine="480"/>
        <w:jc w:val="both"/>
      </w:pPr>
      <w:r>
        <w:rPr>
          <w:rFonts w:ascii="宋体" w:hAnsi="宋体" w:eastAsia="宋体"/>
          <w:b w:val="0"/>
          <w:i w:val="0"/>
          <w:sz w:val="24"/>
        </w:rPr>
      </w:r>
      <w:r>
        <w:rPr>
          <w:rFonts w:ascii="宋体" w:hAnsi="宋体" w:eastAsia="宋体"/>
          <w:b/>
          <w:i w:val="0"/>
          <w:sz w:val="24"/>
        </w:rPr>
        <w:t>第三，"技术解决主义"的认知惯性。</w:t>
      </w:r>
      <w:r>
        <w:rPr>
          <w:rFonts w:ascii="宋体" w:hAnsi="宋体" w:eastAsia="宋体"/>
          <w:b w:val="0"/>
          <w:i w:val="0"/>
          <w:sz w:val="24"/>
        </w:rPr>
        <w:t xml:space="preserve"> 在公共治理领域，存在一种将复杂社会问题简化为技术问题的认知惯性——"养老服务供给不足 → 用数智化提升效率"看似是逻辑自洽的，但实际上回避了服务的公平分配、质量的制度保障等更根本的问题。这种认知惯性使得治理资源大量流向技术端，而非制度端和社会端，形成了"技术在场、服务缺席"的悖论性局面。</w:t>
      </w:r>
    </w:p>
    <w:p>
      <w:pPr>
        <w:spacing w:line="360" w:lineRule="auto"/>
        <w:ind w:firstLine="480"/>
        <w:jc w:val="both"/>
      </w:pPr>
      <w:r>
        <w:rPr>
          <w:rFonts w:ascii="宋体" w:hAnsi="宋体" w:eastAsia="宋体"/>
          <w:b w:val="0"/>
          <w:i w:val="0"/>
          <w:sz w:val="24"/>
        </w:rPr>
      </w:r>
      <w:r>
        <w:rPr>
          <w:rFonts w:ascii="宋体" w:hAnsi="宋体" w:eastAsia="宋体"/>
          <w:b/>
          <w:i w:val="0"/>
          <w:sz w:val="24"/>
        </w:rPr>
        <w:t>第四，国际比较视角下的经验参照。</w:t>
      </w:r>
      <w:r>
        <w:rPr>
          <w:rFonts w:ascii="宋体" w:hAnsi="宋体" w:eastAsia="宋体"/>
          <w:b w:val="0"/>
          <w:i w:val="0"/>
          <w:sz w:val="24"/>
        </w:rPr>
        <w:t xml:space="preserve"> 这一悖论并非中国特有的现象。日本在推广"介护保险"信息系统过程中发现，高龄老年人（85岁以上）的ICT设备使用率长期低于15%，多数介护机构不得不保留纸质记录和面对面服务的"双轨制"（日本厚生劳动省，2023）。欧盟《欧洲无障碍法案》（European Accessibility Act）要求公共服务数字终端必须具备多模态交互功能，并明确禁止将数字化作为获得基本服务的唯一通道。这些国际经验表明：数字排斥是在全球老龄化进程中普遍存在的结构性挑战，保留人工替代通道和建立包容性设计标准是应对该挑战的两个关键制度工具。</w:t>
      </w:r>
    </w:p>
    <w:p>
      <w:pPr>
        <w:spacing w:before="200" w:after="80" w:line="360" w:lineRule="auto"/>
        <w:jc w:val="left"/>
      </w:pPr>
      <w:r>
        <w:rPr>
          <w:rFonts w:ascii="黑体" w:hAnsi="黑体" w:eastAsia="黑体"/>
          <w:b/>
          <w:i w:val="0"/>
          <w:sz w:val="24"/>
        </w:rPr>
        <w:t>五、包容性治理路径：超越"补救型"逻辑</w:t>
      </w:r>
    </w:p>
    <w:p>
      <w:pPr>
        <w:spacing w:line="360" w:lineRule="auto"/>
        <w:ind w:firstLine="480"/>
        <w:jc w:val="both"/>
      </w:pPr>
      <w:r>
        <w:rPr>
          <w:rFonts w:ascii="宋体" w:hAnsi="宋体" w:eastAsia="宋体"/>
          <w:b w:val="0"/>
          <w:i w:val="0"/>
          <w:sz w:val="24"/>
        </w:rPr>
        <w:t>当前各地在应对数字排斥时大多采取"补救型"策略——发现某类老人被排斥，然后组织志愿者教他们用手机、升级大字版界面、发补贴买智能设备。这种策略在短期内可能有帮助，但无法触及排斥的深层结构性根源。本文提出"</w:t>
      </w:r>
      <w:r>
        <w:rPr>
          <w:rFonts w:ascii="宋体" w:hAnsi="宋体" w:eastAsia="宋体"/>
          <w:b/>
          <w:i w:val="0"/>
          <w:sz w:val="24"/>
        </w:rPr>
        <w:t>技术包容-组织协同-能力建设-制度保障</w:t>
      </w:r>
      <w:r>
        <w:rPr>
          <w:rFonts w:ascii="宋体" w:hAnsi="宋体" w:eastAsia="宋体"/>
          <w:b w:val="0"/>
          <w:i w:val="0"/>
          <w:sz w:val="24"/>
        </w:rPr>
        <w:t>"四维包容性治理框架，旨在超越"补救型"逻辑，构建系统性、预防性的数字养老服务正义体系。</w:t>
      </w:r>
    </w:p>
    <w:p>
      <w:pPr>
        <w:spacing w:line="360" w:lineRule="auto"/>
        <w:ind w:firstLine="480"/>
        <w:jc w:val="both"/>
      </w:pPr>
      <w:r>
        <w:rPr>
          <w:rFonts w:ascii="宋体" w:hAnsi="宋体" w:eastAsia="宋体"/>
          <w:b w:val="0"/>
          <w:i w:val="0"/>
          <w:sz w:val="24"/>
        </w:rPr>
        <w:t>需要说明该框架的学术定位。在理论谱系上，它与既有治理理论既有关联又有区别：（1）</w:t>
      </w:r>
      <w:r>
        <w:rPr>
          <w:rFonts w:ascii="宋体" w:hAnsi="宋体" w:eastAsia="宋体"/>
          <w:b/>
          <w:i w:val="0"/>
          <w:sz w:val="24"/>
        </w:rPr>
        <w:t>与整体性治理（holistic governance）的关系</w:t>
      </w:r>
      <w:r>
        <w:rPr>
          <w:rFonts w:ascii="宋体" w:hAnsi="宋体" w:eastAsia="宋体"/>
          <w:b w:val="0"/>
          <w:i w:val="0"/>
          <w:sz w:val="24"/>
        </w:rPr>
        <w:t>——整体性治理强调跨部门协同和公共服务整合，其"打破碎片化"的核心主张与本文"组织协同"维度的设计理念一脉相承，本文进一步将这一理念具体化为养老数据共享标准和跨部门协调机制；（2）</w:t>
      </w:r>
      <w:r>
        <w:rPr>
          <w:rFonts w:ascii="宋体" w:hAnsi="宋体" w:eastAsia="宋体"/>
          <w:b/>
          <w:i w:val="0"/>
          <w:sz w:val="24"/>
        </w:rPr>
        <w:t>与协同治理（collaborative governance）的关系</w:t>
      </w:r>
      <w:r>
        <w:rPr>
          <w:rFonts w:ascii="宋体" w:hAnsi="宋体" w:eastAsia="宋体"/>
          <w:b w:val="0"/>
          <w:i w:val="0"/>
          <w:sz w:val="24"/>
        </w:rPr>
        <w:t>——协同治理强调多元主体参与和规则共建，本文"制度保障"维度中的老年数字权利框架借鉴了这一核心理念，强调将老年人（尤其是被排斥群体）纳入数字服务设计的决策过程；（3）</w:t>
      </w:r>
      <w:r>
        <w:rPr>
          <w:rFonts w:ascii="宋体" w:hAnsi="宋体" w:eastAsia="宋体"/>
          <w:b/>
          <w:i w:val="0"/>
          <w:sz w:val="24"/>
        </w:rPr>
        <w:t>与敏捷治理（agile governance）的关系</w:t>
      </w:r>
      <w:r>
        <w:rPr>
          <w:rFonts w:ascii="宋体" w:hAnsi="宋体" w:eastAsia="宋体"/>
          <w:b w:val="0"/>
          <w:i w:val="0"/>
          <w:sz w:val="24"/>
        </w:rPr>
        <w:t>——敏捷治理强调技术快速迭代下的政策灵活响应，本文"能力建设"维度中提到的"动态能力评估"标准即体现了这一思路。本文框架在上述理论基础上，新增了"技术包容"维度以回应对技术系统设计逻辑本身的批判性关注，从而形成了更具养老服务场景针对性的四维框架。</w:t>
      </w:r>
    </w:p>
    <w:p>
      <w:pPr>
        <w:spacing w:before="120" w:after="60" w:line="360" w:lineRule="auto"/>
        <w:jc w:val="left"/>
      </w:pPr>
      <w:r>
        <w:rPr>
          <w:rFonts w:ascii="楷体" w:hAnsi="楷体" w:eastAsia="楷体"/>
          <w:b/>
          <w:i w:val="0"/>
          <w:sz w:val="24"/>
        </w:rPr>
        <w:t>（一）技术包容：从"一刀切"到"分层适配"</w:t>
      </w:r>
    </w:p>
    <w:p>
      <w:pPr>
        <w:spacing w:line="360" w:lineRule="auto"/>
        <w:ind w:firstLine="480"/>
        <w:jc w:val="both"/>
      </w:pPr>
      <w:r>
        <w:rPr>
          <w:rFonts w:ascii="宋体" w:hAnsi="宋体" w:eastAsia="宋体"/>
          <w:b w:val="0"/>
          <w:i w:val="0"/>
          <w:sz w:val="24"/>
        </w:rPr>
        <w:t>技术包容的核心原则是：</w:t>
      </w:r>
      <w:r>
        <w:rPr>
          <w:rFonts w:ascii="宋体" w:hAnsi="宋体" w:eastAsia="宋体"/>
          <w:b/>
          <w:i w:val="0"/>
          <w:sz w:val="24"/>
        </w:rPr>
        <w:t>数字系统的设计应以最弱势群体的能力为基线，而非以最优势群体的期望为目标</w:t>
      </w:r>
      <w:r>
        <w:rPr>
          <w:rFonts w:ascii="宋体" w:hAnsi="宋体" w:eastAsia="宋体"/>
          <w:b w:val="0"/>
          <w:i w:val="0"/>
          <w:sz w:val="24"/>
        </w:rPr>
        <w:t>。</w:t>
      </w:r>
    </w:p>
    <w:p>
      <w:pPr>
        <w:spacing w:line="360" w:lineRule="auto"/>
        <w:ind w:firstLine="480"/>
        <w:jc w:val="both"/>
      </w:pPr>
      <w:r>
        <w:rPr>
          <w:rFonts w:ascii="宋体" w:hAnsi="宋体" w:eastAsia="宋体"/>
          <w:b w:val="0"/>
          <w:i w:val="0"/>
          <w:sz w:val="24"/>
        </w:rPr>
        <w:t>具体路径包括：（1）</w:t>
      </w:r>
      <w:r>
        <w:rPr>
          <w:rFonts w:ascii="宋体" w:hAnsi="宋体" w:eastAsia="宋体"/>
          <w:b/>
          <w:i w:val="0"/>
          <w:sz w:val="24"/>
        </w:rPr>
        <w:t>"人机互补"设计原则</w:t>
      </w:r>
      <w:r>
        <w:rPr>
          <w:rFonts w:ascii="宋体" w:hAnsi="宋体" w:eastAsia="宋体"/>
          <w:b w:val="0"/>
          <w:i w:val="0"/>
          <w:sz w:val="24"/>
        </w:rPr>
        <w:t>——明确界定哪些服务必须保留人工通道（情感支持、危机干预、尊严维护决策），哪些可以自动化（数据采集、常规提醒），防止技术逻辑全面替代关怀逻辑。张福磊（2026）提出人类应主导行政裁量权的观点，在养老服务中尤为切中要害：涉及老年人尊严、安全和重大权益的决策，不应完全交由算法完成；（2）</w:t>
      </w:r>
      <w:r>
        <w:rPr>
          <w:rFonts w:ascii="宋体" w:hAnsi="宋体" w:eastAsia="宋体"/>
          <w:b/>
          <w:i w:val="0"/>
          <w:sz w:val="24"/>
        </w:rPr>
        <w:t>多模态交互设计</w:t>
      </w:r>
      <w:r>
        <w:rPr>
          <w:rFonts w:ascii="宋体" w:hAnsi="宋体" w:eastAsia="宋体"/>
          <w:b w:val="0"/>
          <w:i w:val="0"/>
          <w:sz w:val="24"/>
        </w:rPr>
        <w:t>——超越"触屏"主导范式，发展语音交互、情感计算、体感交互等多元交互方式，适应不同认知特征老年人的操作习惯；（3）</w:t>
      </w:r>
      <w:r>
        <w:rPr>
          <w:rFonts w:ascii="宋体" w:hAnsi="宋体" w:eastAsia="宋体"/>
          <w:b/>
          <w:i w:val="0"/>
          <w:sz w:val="24"/>
        </w:rPr>
        <w:t>文化敏感的技术设计</w:t>
      </w:r>
      <w:r>
        <w:rPr>
          <w:rFonts w:ascii="宋体" w:hAnsi="宋体" w:eastAsia="宋体"/>
          <w:b w:val="0"/>
          <w:i w:val="0"/>
          <w:sz w:val="24"/>
        </w:rPr>
        <w:t>——对民族地区提供本地语言界面（如内蒙古老年人的蒙语版需求），对农村适老化提供与当地生活方式匹配的服务流程；（4）</w:t>
      </w:r>
      <w:r>
        <w:rPr>
          <w:rFonts w:ascii="宋体" w:hAnsi="宋体" w:eastAsia="宋体"/>
          <w:b/>
          <w:i w:val="0"/>
          <w:sz w:val="24"/>
        </w:rPr>
        <w:t>"语义对齐"的伦理嵌入</w:t>
      </w:r>
      <w:r>
        <w:rPr>
          <w:rFonts w:ascii="宋体" w:hAnsi="宋体" w:eastAsia="宋体"/>
          <w:b w:val="0"/>
          <w:i w:val="0"/>
          <w:sz w:val="24"/>
        </w:rPr>
        <w:t>——确保算法对老年人需求的"转译"过程纳入人文理解维度，防止"人民算法"仅仅是效率算法的另一种说法（张福磊，2026）。</w:t>
      </w:r>
    </w:p>
    <w:p>
      <w:pPr>
        <w:spacing w:before="120" w:after="60" w:line="360" w:lineRule="auto"/>
        <w:jc w:val="left"/>
      </w:pPr>
      <w:r>
        <w:rPr>
          <w:rFonts w:ascii="楷体" w:hAnsi="楷体" w:eastAsia="楷体"/>
          <w:b/>
          <w:i w:val="0"/>
          <w:sz w:val="24"/>
        </w:rPr>
        <w:t>（二）组织协同：从"数据孤岛"到"信息共享"</w:t>
      </w:r>
    </w:p>
    <w:p>
      <w:pPr>
        <w:spacing w:line="360" w:lineRule="auto"/>
        <w:ind w:firstLine="480"/>
        <w:jc w:val="both"/>
      </w:pPr>
      <w:r>
        <w:rPr>
          <w:rFonts w:ascii="宋体" w:hAnsi="宋体" w:eastAsia="宋体"/>
          <w:b w:val="0"/>
          <w:i w:val="0"/>
          <w:sz w:val="24"/>
        </w:rPr>
        <w:t>数字排斥的组织成因是系统性的数据壁垒和部门分割，治理路径也必须从组织层面入手：（1）</w:t>
      </w:r>
      <w:r>
        <w:rPr>
          <w:rFonts w:ascii="宋体" w:hAnsi="宋体" w:eastAsia="宋体"/>
          <w:b/>
          <w:i w:val="0"/>
          <w:sz w:val="24"/>
        </w:rPr>
        <w:t>建立统一的养老数据共享标准</w:t>
      </w:r>
      <w:r>
        <w:rPr>
          <w:rFonts w:ascii="宋体" w:hAnsi="宋体" w:eastAsia="宋体"/>
          <w:b w:val="0"/>
          <w:i w:val="0"/>
          <w:sz w:val="24"/>
        </w:rPr>
        <w:t>——解决23.8%数据互通率问题的根本出路不是技术接口的升级，而是数据共享的制度化约定——谁的数据、什么条件下可以共享、安全责任如何分配。可借鉴欧盟《数据治理法案》的数据中介制度，建立独立于各数据持有方的"养老数据共享中介"；（2）</w:t>
      </w:r>
      <w:r>
        <w:rPr>
          <w:rFonts w:ascii="宋体" w:hAnsi="宋体" w:eastAsia="宋体"/>
          <w:b/>
          <w:i w:val="0"/>
          <w:sz w:val="24"/>
        </w:rPr>
        <w:t>打破"刚性标准"的制度锁定</w:t>
      </w:r>
      <w:r>
        <w:rPr>
          <w:rFonts w:ascii="宋体" w:hAnsi="宋体" w:eastAsia="宋体"/>
          <w:b w:val="0"/>
          <w:i w:val="0"/>
          <w:sz w:val="24"/>
        </w:rPr>
        <w:t>——改革养老护理员准入标准，从"静态门槛"（几年工作经验）转向"动态能力评估"（数字工具操作考核、持续教育学分），适应数智化技术快速迭代的特征；（3）</w:t>
      </w:r>
      <w:r>
        <w:rPr>
          <w:rFonts w:ascii="宋体" w:hAnsi="宋体" w:eastAsia="宋体"/>
          <w:b/>
          <w:i w:val="0"/>
          <w:sz w:val="24"/>
        </w:rPr>
        <w:t>构建社区嵌入式服务网络</w:t>
      </w:r>
      <w:r>
        <w:rPr>
          <w:rFonts w:ascii="宋体" w:hAnsi="宋体" w:eastAsia="宋体"/>
          <w:b w:val="0"/>
          <w:i w:val="0"/>
          <w:sz w:val="24"/>
        </w:rPr>
        <w:t>（青连斌等，2026）——将数智平台嵌入社区既有的服务网络中，让技术服务于人而非替代人。</w:t>
      </w:r>
    </w:p>
    <w:p>
      <w:pPr>
        <w:spacing w:before="120" w:after="60" w:line="360" w:lineRule="auto"/>
        <w:jc w:val="left"/>
      </w:pPr>
      <w:r>
        <w:rPr>
          <w:rFonts w:ascii="楷体" w:hAnsi="楷体" w:eastAsia="楷体"/>
          <w:b/>
          <w:i w:val="0"/>
          <w:sz w:val="24"/>
        </w:rPr>
        <w:t>（三）能力建设：从"劳动密集型"到"精准供给型"</w:t>
      </w:r>
    </w:p>
    <w:p>
      <w:pPr>
        <w:spacing w:line="360" w:lineRule="auto"/>
        <w:ind w:firstLine="480"/>
        <w:jc w:val="both"/>
      </w:pPr>
      <w:r>
        <w:rPr>
          <w:rFonts w:ascii="宋体" w:hAnsi="宋体" w:eastAsia="宋体"/>
          <w:b w:val="0"/>
          <w:i w:val="0"/>
          <w:sz w:val="24"/>
        </w:rPr>
        <w:t>曹科岩和方之瑜（2026）提出的"从劳动密集型到精准供给型"人才转型，是消解数字排斥的关键环节：（1）</w:t>
      </w:r>
      <w:r>
        <w:rPr>
          <w:rFonts w:ascii="宋体" w:hAnsi="宋体" w:eastAsia="宋体"/>
          <w:b/>
          <w:i w:val="0"/>
          <w:sz w:val="24"/>
        </w:rPr>
        <w:t>建立"疾病-能力"匹配的分层培训体系</w:t>
      </w:r>
      <w:r>
        <w:rPr>
          <w:rFonts w:ascii="宋体" w:hAnsi="宋体" w:eastAsia="宋体"/>
          <w:b w:val="0"/>
          <w:i w:val="0"/>
          <w:sz w:val="24"/>
        </w:rPr>
        <w:t>——将曹科岩和方之瑜的五类疾病×七项能力矩阵转化为养老护理员分层培训课程，形成"心血管照护模块""认知障碍照护模块"等体系化课程，尤其强化智能设备操作的实操训练；（2）</w:t>
      </w:r>
      <w:r>
        <w:rPr>
          <w:rFonts w:ascii="宋体" w:hAnsi="宋体" w:eastAsia="宋体"/>
          <w:b/>
          <w:i w:val="0"/>
          <w:sz w:val="24"/>
        </w:rPr>
        <w:t>破解"低薪-低素质"恶性循环</w:t>
      </w:r>
      <w:r>
        <w:rPr>
          <w:rFonts w:ascii="宋体" w:hAnsi="宋体" w:eastAsia="宋体"/>
          <w:b w:val="0"/>
          <w:i w:val="0"/>
          <w:sz w:val="24"/>
        </w:rPr>
        <w:t>——将数字素养等级与薪酬挂钩，激励护理员主动提升数字化服务能力；（3）</w:t>
      </w:r>
      <w:r>
        <w:rPr>
          <w:rFonts w:ascii="宋体" w:hAnsi="宋体" w:eastAsia="宋体"/>
          <w:b/>
          <w:i w:val="0"/>
          <w:sz w:val="24"/>
        </w:rPr>
        <w:t>建立"数字反哺"的社会化机制</w:t>
      </w:r>
      <w:r>
        <w:rPr>
          <w:rFonts w:ascii="宋体" w:hAnsi="宋体" w:eastAsia="宋体"/>
          <w:b w:val="0"/>
          <w:i w:val="0"/>
          <w:sz w:val="24"/>
        </w:rPr>
        <w:t>——将家庭内部的数字继承效应扩展为社区公共品，组织社区青年志愿者、低龄老年人组成数字互助网络，使数字优势不再仅由家庭代际传递。</w:t>
      </w:r>
    </w:p>
    <w:p>
      <w:pPr>
        <w:spacing w:before="120" w:after="60" w:line="360" w:lineRule="auto"/>
        <w:jc w:val="left"/>
      </w:pPr>
      <w:r>
        <w:rPr>
          <w:rFonts w:ascii="楷体" w:hAnsi="楷体" w:eastAsia="楷体"/>
          <w:b/>
          <w:i w:val="0"/>
          <w:sz w:val="24"/>
        </w:rPr>
        <w:t>（四）制度保障：从"效率优先"到"权利保障"</w:t>
      </w:r>
    </w:p>
    <w:p>
      <w:pPr>
        <w:spacing w:line="360" w:lineRule="auto"/>
        <w:ind w:firstLine="480"/>
        <w:jc w:val="both"/>
      </w:pPr>
      <w:r>
        <w:rPr>
          <w:rFonts w:ascii="宋体" w:hAnsi="宋体" w:eastAsia="宋体"/>
          <w:b w:val="0"/>
          <w:i w:val="0"/>
          <w:sz w:val="24"/>
        </w:rPr>
        <w:t>制度层面需要从三个方向重构：（1）</w:t>
      </w:r>
      <w:r>
        <w:rPr>
          <w:rFonts w:ascii="宋体" w:hAnsi="宋体" w:eastAsia="宋体"/>
          <w:b/>
          <w:i w:val="0"/>
          <w:sz w:val="24"/>
        </w:rPr>
        <w:t>确立老年数字权利框架</w:t>
      </w:r>
      <w:r>
        <w:rPr>
          <w:rFonts w:ascii="宋体" w:hAnsi="宋体" w:eastAsia="宋体"/>
          <w:b w:val="0"/>
          <w:i w:val="0"/>
          <w:sz w:val="24"/>
        </w:rPr>
        <w:t>——在法律层面明确老年人享有"非数字化替代服务"的权利（即有权选择不使用智能设备而仍然获得同等质量的服务），防止"数字选项"变成"唯一选项"；（2）</w:t>
      </w:r>
      <w:r>
        <w:rPr>
          <w:rFonts w:ascii="宋体" w:hAnsi="宋体" w:eastAsia="宋体"/>
          <w:b/>
          <w:i w:val="0"/>
          <w:sz w:val="24"/>
        </w:rPr>
        <w:t>构建算法问责机制</w:t>
      </w:r>
      <w:r>
        <w:rPr>
          <w:rFonts w:ascii="宋体" w:hAnsi="宋体" w:eastAsia="宋体"/>
          <w:b w:val="0"/>
          <w:i w:val="0"/>
          <w:sz w:val="24"/>
        </w:rPr>
        <w:t>——这一机制的运作需要技术手段与制度安排的双重支撑。在技术层面，建立算法决策的可追溯日志系统，对需求评估算法进行定期的公平性审计（bias audit），确保其分类逻辑和分配规则不产生系统性偏见；在制度层面，参照欧盟《人工智能法案》的风险分级制度，对养老服务中的算法进行事前风险评估，明确养老服务中算法决策的责任归属规则——当算法输出与实际服务需求出现重大偏差时，由平台运营方承担首要说明义务，算法提供者承担技术合规义务，监管机构承担审查义务，形成可申诉、可追溯的责任闭环。关键在于，技术透明（开源、可审计）与制度透明（问责渠道、独立监督）必须同步建设，缺一不可；（3）</w:t>
      </w:r>
      <w:r>
        <w:rPr>
          <w:rFonts w:ascii="宋体" w:hAnsi="宋体" w:eastAsia="宋体"/>
          <w:b/>
          <w:i w:val="0"/>
          <w:sz w:val="24"/>
        </w:rPr>
        <w:t>完善长期护理保险的数智化衔接</w:t>
      </w:r>
      <w:r>
        <w:rPr>
          <w:rFonts w:ascii="宋体" w:hAnsi="宋体" w:eastAsia="宋体"/>
          <w:b w:val="0"/>
          <w:i w:val="0"/>
          <w:sz w:val="24"/>
        </w:rPr>
        <w:t>——将数字包容指标纳入长期护理保险的评价体系，如智慧养老平台的数据互通率、适老化水平、线下人工通道保留率等作为服务质量评估的子项。</w:t>
      </w:r>
    </w:p>
    <w:p>
      <w:pPr>
        <w:spacing w:before="200" w:after="80" w:line="360" w:lineRule="auto"/>
        <w:jc w:val="left"/>
      </w:pPr>
      <w:r>
        <w:rPr>
          <w:rFonts w:ascii="黑体" w:hAnsi="黑体" w:eastAsia="黑体"/>
          <w:b/>
          <w:i w:val="0"/>
          <w:sz w:val="24"/>
        </w:rPr>
        <w:t>六、结论与展望</w:t>
      </w:r>
    </w:p>
    <w:p>
      <w:pPr>
        <w:spacing w:before="120" w:after="60" w:line="360" w:lineRule="auto"/>
        <w:jc w:val="left"/>
      </w:pPr>
      <w:r>
        <w:rPr>
          <w:rFonts w:ascii="楷体" w:hAnsi="楷体" w:eastAsia="楷体"/>
          <w:b/>
          <w:i w:val="0"/>
          <w:sz w:val="24"/>
        </w:rPr>
        <w:t>（一）核心命题</w:t>
      </w:r>
    </w:p>
    <w:p>
      <w:pPr>
        <w:spacing w:line="360" w:lineRule="auto"/>
        <w:ind w:firstLine="480"/>
        <w:jc w:val="both"/>
      </w:pPr>
      <w:r>
        <w:rPr>
          <w:rFonts w:ascii="宋体" w:hAnsi="宋体" w:eastAsia="宋体"/>
          <w:b w:val="0"/>
          <w:i w:val="0"/>
          <w:sz w:val="24"/>
        </w:rPr>
        <w:t>本文作为一篇概念性论文，基于数智社会分层理论与TOE异化风险框架，尝试建构了数智养老服务中数字排斥的形态谱系与生成机制的分析框架，提出以下理论假设：</w:t>
      </w:r>
    </w:p>
    <w:p>
      <w:pPr>
        <w:spacing w:line="360" w:lineRule="auto"/>
        <w:ind w:firstLine="480"/>
        <w:jc w:val="both"/>
      </w:pPr>
      <w:r>
        <w:rPr>
          <w:rFonts w:ascii="宋体" w:hAnsi="宋体" w:eastAsia="宋体"/>
          <w:b w:val="0"/>
          <w:i w:val="0"/>
          <w:sz w:val="24"/>
        </w:rPr>
      </w:r>
      <w:r>
        <w:rPr>
          <w:rFonts w:ascii="宋体" w:hAnsi="宋体" w:eastAsia="宋体"/>
          <w:b/>
          <w:i w:val="0"/>
          <w:sz w:val="24"/>
        </w:rPr>
        <w:t>假设一：三维叠加排斥结构</w:t>
      </w:r>
      <w:r>
        <w:rPr>
          <w:rFonts w:ascii="宋体" w:hAnsi="宋体" w:eastAsia="宋体"/>
          <w:b w:val="0"/>
          <w:i w:val="0"/>
          <w:sz w:val="24"/>
        </w:rPr>
        <w:t>——数智养老服务中的数字排斥呈现为"技术-组织-个体"三维叠加的多层结构。技术维度上，算法行为的自动分级和适老化设计的表面化使排斥内嵌于系统架构本身；组织维度上，数据壁垒（23.8%互通率）和政策刚性造成"技术在场、服务缺席"的悖论；个体维度上，AIQ分化与94%的人才缺口形成"双重短缺"。三维排斥相互强化，形成一个自我维持的排斥循环。</w:t>
      </w:r>
    </w:p>
    <w:p>
      <w:pPr>
        <w:spacing w:line="360" w:lineRule="auto"/>
        <w:ind w:firstLine="480"/>
        <w:jc w:val="both"/>
      </w:pPr>
      <w:r>
        <w:rPr>
          <w:rFonts w:ascii="宋体" w:hAnsi="宋体" w:eastAsia="宋体"/>
          <w:b w:val="0"/>
          <w:i w:val="0"/>
          <w:sz w:val="24"/>
        </w:rPr>
      </w:r>
      <w:r>
        <w:rPr>
          <w:rFonts w:ascii="宋体" w:hAnsi="宋体" w:eastAsia="宋体"/>
          <w:b/>
          <w:i w:val="0"/>
          <w:sz w:val="24"/>
        </w:rPr>
        <w:t>假设二：隐性再生产机制</w:t>
      </w:r>
      <w:r>
        <w:rPr>
          <w:rFonts w:ascii="宋体" w:hAnsi="宋体" w:eastAsia="宋体"/>
          <w:b w:val="0"/>
          <w:i w:val="0"/>
          <w:sz w:val="24"/>
        </w:rPr>
        <w:t>——数字排斥的深层动力来自算法优绩主义、数字继承与算法规训三种隐性机制，它们与显性的制度排斥形态并存而非取代。算法优绩主义通过"数据驱动"替代"需求驱动"形成马太效应；数字继承将家庭数字资源禀赋转化为代际不平等的固化力量；算法规训在"技术关怀"名义下使排斥合法化、内在化。三者共同作用，多重排斥形态共存，且出现了新的隐蔽形式。</w:t>
      </w:r>
    </w:p>
    <w:p>
      <w:pPr>
        <w:spacing w:line="360" w:lineRule="auto"/>
        <w:ind w:firstLine="480"/>
        <w:jc w:val="both"/>
      </w:pPr>
      <w:r>
        <w:rPr>
          <w:rFonts w:ascii="宋体" w:hAnsi="宋体" w:eastAsia="宋体"/>
          <w:b w:val="0"/>
          <w:i w:val="0"/>
          <w:sz w:val="24"/>
        </w:rPr>
      </w:r>
      <w:r>
        <w:rPr>
          <w:rFonts w:ascii="宋体" w:hAnsi="宋体" w:eastAsia="宋体"/>
          <w:b/>
          <w:i w:val="0"/>
          <w:sz w:val="24"/>
        </w:rPr>
        <w:t>假设三：技术中心主义的结构性偏差</w:t>
      </w:r>
      <w:r>
        <w:rPr>
          <w:rFonts w:ascii="宋体" w:hAnsi="宋体" w:eastAsia="宋体"/>
          <w:b w:val="0"/>
          <w:i w:val="0"/>
          <w:sz w:val="24"/>
        </w:rPr>
        <w:t>——现有治理路径存在偏重技术部署而忽视包容设计、偏重效率提升而忽视权利保障、偏重市场激励而忽视公共价值的结构性偏差。</w:t>
      </w:r>
    </w:p>
    <w:p>
      <w:pPr>
        <w:spacing w:line="360" w:lineRule="auto"/>
        <w:ind w:firstLine="480"/>
        <w:jc w:val="both"/>
      </w:pPr>
      <w:r>
        <w:rPr>
          <w:rFonts w:ascii="宋体" w:hAnsi="宋体" w:eastAsia="宋体"/>
          <w:b w:val="0"/>
          <w:i w:val="0"/>
          <w:sz w:val="24"/>
        </w:rPr>
        <w:t>上述命题均为理论假设，有待系统实证研究加以检验和修正。</w:t>
      </w:r>
    </w:p>
    <w:p>
      <w:pPr>
        <w:spacing w:before="120" w:after="60" w:line="360" w:lineRule="auto"/>
        <w:jc w:val="left"/>
      </w:pPr>
      <w:r>
        <w:rPr>
          <w:rFonts w:ascii="楷体" w:hAnsi="楷体" w:eastAsia="楷体"/>
          <w:b/>
          <w:i w:val="0"/>
          <w:sz w:val="24"/>
        </w:rPr>
        <w:t>（二）理论贡献与实践启示</w:t>
      </w:r>
    </w:p>
    <w:p>
      <w:pPr>
        <w:spacing w:line="360" w:lineRule="auto"/>
        <w:ind w:firstLine="480"/>
        <w:jc w:val="both"/>
      </w:pPr>
      <w:r>
        <w:rPr>
          <w:rFonts w:ascii="宋体" w:hAnsi="宋体" w:eastAsia="宋体"/>
          <w:b w:val="0"/>
          <w:i w:val="0"/>
          <w:sz w:val="24"/>
        </w:rPr>
        <w:t>理论层面，本文将数智社会分层的"隐性再生产"分析框架从一般性社会分析延展至养老服务这一具体领域，拓展了该理论的解释边界。同时，将TOE框架与分层理论进行整合，提出了具有养老服务场景特异性的排斥分析框架，为赋能视角与批判视角之间的对话提供了分析接口。</w:t>
      </w:r>
    </w:p>
    <w:p>
      <w:pPr>
        <w:spacing w:line="360" w:lineRule="auto"/>
        <w:ind w:firstLine="480"/>
        <w:jc w:val="both"/>
      </w:pPr>
      <w:r>
        <w:rPr>
          <w:rFonts w:ascii="宋体" w:hAnsi="宋体" w:eastAsia="宋体"/>
          <w:b w:val="0"/>
          <w:i w:val="0"/>
          <w:sz w:val="24"/>
        </w:rPr>
        <w:t>实践层面，本文提出的"技术包容-组织协同-能力建设-制度保障"四维治理框架，为政策设计提供了超越"补救型"逻辑的系统性思路。特别地，关于"老年数字权利"的探讨——即保留非数字化替代服务的制度性保障——具有直接的法规政策含义。</w:t>
      </w:r>
    </w:p>
    <w:p>
      <w:pPr>
        <w:spacing w:before="120" w:after="60" w:line="360" w:lineRule="auto"/>
        <w:jc w:val="left"/>
      </w:pPr>
      <w:r>
        <w:rPr>
          <w:rFonts w:ascii="楷体" w:hAnsi="楷体" w:eastAsia="楷体"/>
          <w:b/>
          <w:i w:val="0"/>
          <w:sz w:val="24"/>
        </w:rPr>
        <w:t>（三）局限与展望</w:t>
      </w:r>
    </w:p>
    <w:p>
      <w:pPr>
        <w:spacing w:line="360" w:lineRule="auto"/>
        <w:ind w:firstLine="480"/>
        <w:jc w:val="both"/>
      </w:pPr>
      <w:r>
        <w:rPr>
          <w:rFonts w:ascii="宋体" w:hAnsi="宋体" w:eastAsia="宋体"/>
          <w:b w:val="0"/>
          <w:i w:val="0"/>
          <w:sz w:val="24"/>
        </w:rPr>
        <w:t>本文的局限在于：（1）本文为概念性论文，所提出的分析框架和命题有待系统的实证数据验证；（2）对不同地区（城市/农村/民族地区）、不同养老模式（居家/社区/机构）的排斥差异虽已做初步讨论，但精细度仍有不足；（3）对"算法权力"在养老服务中的具体运作机制——如需求评估算法的训练数据偏差、服务分配算法的公平性审计——缺乏技术层面的深入剖析。</w:t>
      </w:r>
    </w:p>
    <w:p>
      <w:pPr>
        <w:spacing w:line="360" w:lineRule="auto"/>
        <w:ind w:firstLine="480"/>
        <w:jc w:val="both"/>
      </w:pPr>
      <w:r>
        <w:rPr>
          <w:rFonts w:ascii="宋体" w:hAnsi="宋体" w:eastAsia="宋体"/>
          <w:b w:val="0"/>
          <w:i w:val="0"/>
          <w:sz w:val="24"/>
        </w:rPr>
        <w:t>未来研究可在以下方向深化：（1）</w:t>
      </w:r>
      <w:r>
        <w:rPr>
          <w:rFonts w:ascii="宋体" w:hAnsi="宋体" w:eastAsia="宋体"/>
          <w:b/>
          <w:i w:val="0"/>
          <w:sz w:val="24"/>
        </w:rPr>
        <w:t>定量测量</w:t>
      </w:r>
      <w:r>
        <w:rPr>
          <w:rFonts w:ascii="宋体" w:hAnsi="宋体" w:eastAsia="宋体"/>
          <w:b w:val="0"/>
          <w:i w:val="0"/>
          <w:sz w:val="24"/>
        </w:rPr>
        <w:t>——开发"数字排斥敏感度"量表，大样本调查不同特征老年人在数智养老服务中的被排斥程度及其影响因素；（2）</w:t>
      </w:r>
      <w:r>
        <w:rPr>
          <w:rFonts w:ascii="宋体" w:hAnsi="宋体" w:eastAsia="宋体"/>
          <w:b/>
          <w:i w:val="0"/>
          <w:sz w:val="24"/>
        </w:rPr>
        <w:t>纵向追踪</w:t>
      </w:r>
      <w:r>
        <w:rPr>
          <w:rFonts w:ascii="宋体" w:hAnsi="宋体" w:eastAsia="宋体"/>
          <w:b w:val="0"/>
          <w:i w:val="0"/>
          <w:sz w:val="24"/>
        </w:rPr>
        <w:t>——随着大模型和生成式AI在养老服务中的应用加速（如AI情感陪伴、智能护理规划），数字排斥的形态可能发生新一轮演变，需持续追踪；（3）</w:t>
      </w:r>
      <w:r>
        <w:rPr>
          <w:rFonts w:ascii="宋体" w:hAnsi="宋体" w:eastAsia="宋体"/>
          <w:b/>
          <w:i w:val="0"/>
          <w:sz w:val="24"/>
        </w:rPr>
        <w:t>比较研究</w:t>
      </w:r>
      <w:r>
        <w:rPr>
          <w:rFonts w:ascii="宋体" w:hAnsi="宋体" w:eastAsia="宋体"/>
          <w:b w:val="0"/>
          <w:i w:val="0"/>
          <w:sz w:val="24"/>
        </w:rPr>
        <w:t>——选取不同地区（东部沿海vs中西部、城市vs农村）、不同养老模式（社区嵌入式vs机构集中式）的典型案例，系统比较排斥的差异化表现与治理效应；（4）</w:t>
      </w:r>
      <w:r>
        <w:rPr>
          <w:rFonts w:ascii="宋体" w:hAnsi="宋体" w:eastAsia="宋体"/>
          <w:b/>
          <w:i w:val="0"/>
          <w:sz w:val="24"/>
        </w:rPr>
        <w:t>跨学科合作</w:t>
      </w:r>
      <w:r>
        <w:rPr>
          <w:rFonts w:ascii="宋体" w:hAnsi="宋体" w:eastAsia="宋体"/>
          <w:b w:val="0"/>
          <w:i w:val="0"/>
          <w:sz w:val="24"/>
        </w:rPr>
        <w:t>——将公共管理学与计算机科学、人工智能伦理学进行交叉，探索"可审计的养老算法"的技术实现路径，使"包容性治理"从分析框架走向可操作的技术方案。</w:t>
      </w:r>
    </w:p>
    <w:p>
      <w:pPr>
        <w:spacing w:before="200" w:after="80" w:line="360" w:lineRule="auto"/>
        <w:jc w:val="left"/>
      </w:pPr>
      <w:r>
        <w:rPr>
          <w:rFonts w:ascii="黑体" w:hAnsi="黑体" w:eastAsia="黑体"/>
          <w:b/>
          <w:i w:val="0"/>
          <w:sz w:val="24"/>
        </w:rPr>
        <w:t>参考文献</w:t>
      </w:r>
    </w:p>
    <w:p>
      <w:pPr>
        <w:spacing w:line="360" w:lineRule="auto"/>
        <w:ind w:firstLine="480"/>
        <w:jc w:val="both"/>
      </w:pPr>
      <w:r>
        <w:rPr>
          <w:rFonts w:ascii="宋体" w:hAnsi="宋体" w:eastAsia="宋体"/>
          <w:b w:val="0"/>
          <w:i w:val="0"/>
          <w:sz w:val="24"/>
        </w:rPr>
        <w:t>[1] 贾小双, 梁玉成. 数智时代社会分层的新维度与隐性再生产[J]. 智能社会研究, 2025(6): 180-201.</w:t>
      </w:r>
    </w:p>
    <w:p>
      <w:pPr>
        <w:spacing w:line="360" w:lineRule="auto"/>
        <w:ind w:firstLine="480"/>
        <w:jc w:val="both"/>
      </w:pPr>
      <w:r>
        <w:rPr>
          <w:rFonts w:ascii="宋体" w:hAnsi="宋体" w:eastAsia="宋体"/>
          <w:b w:val="0"/>
          <w:i w:val="0"/>
          <w:sz w:val="24"/>
        </w:rPr>
        <w:t>[2] 许小玲, 张高荣. 数智赋能社会救助的逻辑理路与异化风险治理——基于TOE框架的分析[J]. 人文杂志, 2025(8): 123-131.</w:t>
      </w:r>
    </w:p>
    <w:p>
      <w:pPr>
        <w:spacing w:line="360" w:lineRule="auto"/>
        <w:ind w:firstLine="480"/>
        <w:jc w:val="both"/>
      </w:pPr>
      <w:r>
        <w:rPr>
          <w:rFonts w:ascii="宋体" w:hAnsi="宋体" w:eastAsia="宋体"/>
          <w:b w:val="0"/>
          <w:i w:val="0"/>
          <w:sz w:val="24"/>
        </w:rPr>
        <w:t>[3] 李漠颖. 内蒙古地区数智融合赋能养老产业发展研究[J]. 商业经济, 2026(5): 36-43.</w:t>
      </w:r>
    </w:p>
    <w:p>
      <w:pPr>
        <w:spacing w:line="360" w:lineRule="auto"/>
        <w:ind w:firstLine="480"/>
        <w:jc w:val="both"/>
      </w:pPr>
      <w:r>
        <w:rPr>
          <w:rFonts w:ascii="宋体" w:hAnsi="宋体" w:eastAsia="宋体"/>
          <w:b w:val="0"/>
          <w:i w:val="0"/>
          <w:sz w:val="24"/>
        </w:rPr>
        <w:t>[4] 曹科岩, 方之瑜. 从劳动密集型到精准供给型：我国智慧养老服务人才适配机制与路径优化[J]. 深圳大学学报(人文社会科学版), 2026, 43(3): 14-22.</w:t>
      </w:r>
    </w:p>
    <w:p>
      <w:pPr>
        <w:spacing w:line="360" w:lineRule="auto"/>
        <w:ind w:firstLine="480"/>
        <w:jc w:val="both"/>
      </w:pPr>
      <w:r>
        <w:rPr>
          <w:rFonts w:ascii="宋体" w:hAnsi="宋体" w:eastAsia="宋体"/>
          <w:b w:val="0"/>
          <w:i w:val="0"/>
          <w:sz w:val="24"/>
        </w:rPr>
        <w:t>[5] 青连斌, 丁建定, 杨立雄, 等. 银发社会与老有所为：理念、实践与路径[J]. 西北大学学报(哲学社会科学版), 2026, 56(3): 38-46.</w:t>
      </w:r>
    </w:p>
    <w:p>
      <w:pPr>
        <w:spacing w:line="360" w:lineRule="auto"/>
        <w:ind w:firstLine="480"/>
        <w:jc w:val="both"/>
      </w:pPr>
      <w:r>
        <w:rPr>
          <w:rFonts w:ascii="宋体" w:hAnsi="宋体" w:eastAsia="宋体"/>
          <w:b w:val="0"/>
          <w:i w:val="0"/>
          <w:sz w:val="24"/>
        </w:rPr>
        <w:t>[6] 张福磊. 城市治理大模型的运行机理、风险挑战与实践路径[J]. 行政论坛, 2026(2): 155-164.</w:t>
      </w:r>
    </w:p>
    <w:p>
      <w:pPr>
        <w:spacing w:line="360" w:lineRule="auto"/>
        <w:ind w:firstLine="480"/>
        <w:jc w:val="both"/>
      </w:pPr>
      <w:r>
        <w:rPr>
          <w:rFonts w:ascii="宋体" w:hAnsi="宋体" w:eastAsia="宋体"/>
          <w:b w:val="0"/>
          <w:i w:val="0"/>
          <w:sz w:val="24"/>
        </w:rPr>
        <w:t>[7] Van Dijk J. The Digital Divide[M]. Cambridge: Polity Press, 2020.</w:t>
      </w:r>
    </w:p>
    <w:p>
      <w:pPr>
        <w:spacing w:line="360" w:lineRule="auto"/>
        <w:ind w:firstLine="480"/>
        <w:jc w:val="both"/>
      </w:pPr>
      <w:r>
        <w:rPr>
          <w:rFonts w:ascii="宋体" w:hAnsi="宋体" w:eastAsia="宋体"/>
          <w:b w:val="0"/>
          <w:i w:val="0"/>
          <w:sz w:val="24"/>
        </w:rPr>
        <w:t>[8] European Commission. Proposal for a Regulation Laying Down Harmonised Rules on Artificial Intelligence (Artificial Intelligence Act)[R]. Brussels, 2021.</w:t>
      </w:r>
    </w:p>
    <w:p>
      <w:pPr>
        <w:spacing w:line="360" w:lineRule="auto"/>
        <w:ind w:firstLine="480"/>
        <w:jc w:val="both"/>
      </w:pPr>
      <w:r>
        <w:rPr>
          <w:rFonts w:ascii="宋体" w:hAnsi="宋体" w:eastAsia="宋体"/>
          <w:b w:val="0"/>
          <w:i w:val="0"/>
          <w:sz w:val="24"/>
        </w:rPr>
        <w:t>[9] DiMaggio P, Hargittai E, Celeste C, et al. Digital inequality: From unequal access to differentiated use[M]//Neckerman K. Social Inequality. New York: Russell Sage Foundation, 2004: 355-400.</w:t>
      </w:r>
    </w:p>
    <w:p>
      <w:pPr>
        <w:spacing w:line="360" w:lineRule="auto"/>
        <w:ind w:firstLine="480"/>
        <w:jc w:val="both"/>
      </w:pPr>
      <w:r>
        <w:rPr>
          <w:rFonts w:ascii="宋体" w:hAnsi="宋体" w:eastAsia="宋体"/>
          <w:b w:val="0"/>
          <w:i w:val="0"/>
          <w:sz w:val="24"/>
        </w:rPr>
        <w:t>[10] Van Deursen A, Van Dijk J. The digital divide shifts to differences in usage[J]. New Media &amp; Society, 2014, 16(3): 507-526.</w:t>
      </w:r>
    </w:p>
    <w:p>
      <w:pPr>
        <w:spacing w:line="360" w:lineRule="auto"/>
        <w:ind w:firstLine="480"/>
        <w:jc w:val="both"/>
      </w:pPr>
      <w:r>
        <w:rPr>
          <w:rFonts w:ascii="宋体" w:hAnsi="宋体" w:eastAsia="宋体"/>
          <w:b w:val="0"/>
          <w:i w:val="0"/>
          <w:sz w:val="24"/>
        </w:rPr>
        <w:t>[11] Gillespie T. The relevance of algorithms[M]//Gillespie T, Boczkowski P J, Foot K A. Media Technologies: Essays on Communication, Materiality, and Society. Cambridge: MIT Press, 2014: 167-194.</w:t>
      </w:r>
    </w:p>
    <w:p>
      <w:pPr>
        <w:spacing w:line="360" w:lineRule="auto"/>
        <w:ind w:firstLine="480"/>
        <w:jc w:val="both"/>
      </w:pPr>
      <w:r>
        <w:rPr>
          <w:rFonts w:ascii="宋体" w:hAnsi="宋体" w:eastAsia="宋体"/>
          <w:b w:val="0"/>
          <w:i w:val="0"/>
          <w:sz w:val="24"/>
        </w:rPr>
        <w:t>[12] Winner L. Do artifacts have politics?[J]. Daedalus, 1980, 109(1): 121-136.</w:t>
      </w:r>
    </w:p>
    <w:p>
      <w:pPr>
        <w:spacing w:line="360" w:lineRule="auto"/>
        <w:ind w:firstLine="480"/>
        <w:jc w:val="both"/>
      </w:pPr>
      <w:r>
        <w:rPr>
          <w:rFonts w:ascii="宋体" w:hAnsi="宋体" w:eastAsia="宋体"/>
          <w:b w:val="0"/>
          <w:i w:val="0"/>
          <w:sz w:val="24"/>
        </w:rPr>
        <w:t>[13] Akrich M. The de-scription of technical objects[M]//Bijker W E, Law J. Shaping Technology/Building Society: Studies in Sociotechnical Change. Cambridge: MIT Press, 1992: 205-224.</w:t>
      </w:r>
    </w:p>
    <w:p>
      <w:pPr>
        <w:spacing w:line="360" w:lineRule="auto"/>
        <w:ind w:firstLine="480"/>
        <w:jc w:val="both"/>
      </w:pPr>
      <w:r>
        <w:rPr>
          <w:rFonts w:ascii="宋体" w:hAnsi="宋体" w:eastAsia="宋体"/>
          <w:b w:val="0"/>
          <w:i w:val="0"/>
          <w:sz w:val="24"/>
        </w:rPr>
        <w:t>[14] Pasquale F. The Black Box Society: The Secret Algorithms That Control Money and Information[M]. Cambridge: Harvard University Press, 2015.</w:t>
      </w:r>
    </w:p>
    <w:p>
      <w:pPr>
        <w:spacing w:line="360" w:lineRule="auto"/>
        <w:ind w:firstLine="480"/>
        <w:jc w:val="both"/>
      </w:pPr>
      <w:r>
        <w:rPr>
          <w:rFonts w:ascii="宋体" w:hAnsi="宋体" w:eastAsia="宋体"/>
          <w:b w:val="0"/>
          <w:i w:val="0"/>
          <w:sz w:val="24"/>
        </w:rPr>
        <w:t>[15] Beer D. Power through the algorithm? Participatory web cultures and the technological unconscious[J]. New Media &amp; Society, 2009, 11(6): 985-1002.</w:t>
      </w:r>
    </w:p>
    <w:p>
      <w:pPr>
        <w:spacing w:line="360" w:lineRule="auto"/>
        <w:ind w:firstLine="480"/>
        <w:jc w:val="both"/>
      </w:pPr>
      <w:r>
        <w:rPr>
          <w:rFonts w:ascii="宋体" w:hAnsi="宋体" w:eastAsia="宋体"/>
          <w:b w:val="0"/>
          <w:i w:val="0"/>
          <w:sz w:val="24"/>
        </w:rPr>
        <w:t>[16] 日本厚生劳动省. 介护保险事业状况报告（令和5年度）[R]. 东京: 厚生劳动省, 2023.</w:t>
      </w:r>
    </w:p>
    <w:p>
      <w:pPr>
        <w:spacing w:line="360" w:lineRule="auto"/>
        <w:ind w:firstLine="480"/>
        <w:jc w:val="both"/>
      </w:pPr>
      <w:r>
        <w:rPr>
          <w:rFonts w:ascii="宋体" w:hAnsi="宋体" w:eastAsia="宋体"/>
          <w:b w:val="0"/>
          <w:i w:val="0"/>
          <w:sz w:val="24"/>
        </w:rPr>
        <w:t>[17] European Parliament and Council. Directive (EU) 2019/882 on the accessibility requirements for products and services (European Accessibility Act)[R]. Brussels: Official Journal of the European Union, 2019.</w:t>
      </w:r>
    </w:p>
    <w:p>
      <w:pPr>
        <w:spacing w:line="360" w:lineRule="auto"/>
        <w:ind w:firstLine="480"/>
        <w:jc w:val="both"/>
      </w:pPr>
      <w:r>
        <w:rPr>
          <w:rFonts w:ascii="宋体" w:hAnsi="宋体" w:eastAsia="宋体"/>
          <w:b w:val="0"/>
          <w:i w:val="0"/>
          <w:sz w:val="24"/>
        </w:rPr>
        <w:t>[18] European Parliament and Council. Regulation (EU) 2022/868 on European data governance (Data Governance Act)[R]. Brussels: Official Journal of the European Union, 2022.</w:t>
      </w:r>
    </w:p>
    <w:p>
      <w:pPr>
        <w:spacing w:line="360" w:lineRule="auto"/>
        <w:ind w:firstLine="480"/>
        <w:jc w:val="both"/>
      </w:pPr>
      <w:r>
        <w:rPr>
          <w:rFonts w:ascii="宋体" w:hAnsi="宋体" w:eastAsia="宋体"/>
          <w:b w:val="0"/>
          <w:i w:val="0"/>
          <w:sz w:val="24"/>
        </w:rPr>
        <w:t>*终稿 | 2026-06-10 | 总字数约 13,200 字（中文） | 参考文献 18 篇*</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