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Automobilia II, LLC</w:t>
      </w:r>
    </w:p>
    <w:p>
      <w:pPr>
        <w:pStyle w:val="Body"/>
        <w:bidi w:val="0"/>
      </w:pPr>
      <w:r>
        <w:rPr>
          <w:rtl w:val="0"/>
          <w:lang w:val="en-US"/>
        </w:rPr>
        <w:t>Patent-Powered AI Technology: Transforming Toy Car Heritage &amp; Engagement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INNOVATION &amp; VALUE PROPOSITION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Proprietary AI technology that brings toy cars to life through verified historical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Enables children and collectors to create and preserve their own toy car stories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Protects Mattel's IP while enhancing brand engagement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Creates new revenue streams through authenticated content and experiences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Preserves global automotive heritage through authenticated knowledge base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TECHNICAL EXCELLENCE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Multi-modal neural architecture designed for toy car identification and storytelling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Processes images, video, text, and user-generated content with verified accuracy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Supports both real-time and historical toy car identification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Enables secure data sharing while maintaining IP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coverage of automotive heritage and documentation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PROVEN DATASET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Copyright-protected database of thousands of verified automotive assets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Comprehensive coverage from 1885 to present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Includes images, videos, technical specifications, and historical documentation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All assets authenticated through Library of Congress registration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representation of automotive heritage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MATTEL APPLICATIONS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Hot Wheels &amp; Matchbox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Authenticate limited edition releases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Verify collector's items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digital certificates of authenticity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collector-to-collector trading with verified history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to global automotive heritage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Digital Engagement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Allow children to record their toy car adventures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family memories around toy car collections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sharing of verified toy car stories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intergenerational connections through toy car history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Preserve family automotive heritage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Collector Community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Verify rare and limited edition items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authenticated collector profiles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secure trading of verified items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in the collector marketplace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to global collector networks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Brand Enhancement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toy cars to their real-world counterparts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Provide educational content about automotive history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immersive experiences around toy car collections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brand loyalty through verified content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Preserve global automotive heritage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LICENSING OPPORTUNITIES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Technology licensing for Mattel's digital platforms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Dataset licensing for authenticated content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Custom implementation for collector's marketplace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White-label solutions for brand-specific applications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heritage preservation partnerships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IP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Granted patent for AI technology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Copyright-protected dataset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and product security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MARKET VALIDATION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Growing global collector car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Increasing demand for authenticated collectibles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Strong interest in digital-physical toy integration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Rising importance of family memory preservation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Expanding international collector communities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Growing need for IP protection in digital 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UNIQUE VALUE FOR MATTEL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Transform toy cars into family memory platforms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grandfathers to record their automotive stories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intergenerational connections through toy cars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brand loyalty through authentic experiences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and enhance collector's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new revenue streams through verified content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GLOBAL HERITAGE PRESERVATION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Access to thousands of verified automotive assets worldwide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Coverage of vehicles from every continent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Authenticated historical documentation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Cultural context for each vehicle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Regional automotive heritage preservation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collector community engagement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IP PROTECTION &amp;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Patent-protected technology for Mattel's products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Verified authentication of limited editions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</w:t>
      </w:r>
      <w:r>
        <w:rPr>
          <w:rtl w:val="0"/>
          <w:lang w:val="en-US"/>
        </w:rPr>
        <w:t>eduction in counterfeit detection costs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collector's marketplace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protection through authenticated content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FAMILY RELATIONSHIP TO MATTEL'S COLLECTOR CARS</w:t>
      </w:r>
    </w:p>
    <w:p>
      <w:pPr>
        <w:pStyle w:val="Body"/>
        <w:bidi w:val="0"/>
      </w:pPr>
      <w:r>
        <w:rPr>
          <w:rtl w:val="0"/>
          <w:lang w:val="en-US"/>
        </w:rPr>
        <w:t>"Grandpa's Story Time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Grandfather shares memories of his 1965 Mustang</w:t>
      </w:r>
      <w:r>
        <w:rPr>
          <w:rtl w:val="0"/>
          <w:lang w:val="en-US"/>
        </w:rPr>
        <w:t xml:space="preserve"> with AI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Child plays with matching Hot Wheels Mustang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Family creates new memories with the same toy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Story becomes part of the toy's verified history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Creates emotional connection to the brand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Builds family legacy through Mattel's collector cars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GROWTH DRIVERS FOR COLLECTOR CARS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Enhanced authentication increases collector confidence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Family storytelling drives emotional connection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heritage preservation expands market reach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IP protection ensures brand value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Digital-physical integration creates new opportunities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Intergenerational engagement builds future collectors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LEADERSHIP AND IP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Automobilia II, LLC's expertise and proprietary copyrighted dataset provide a robust foundation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With extensive industry contacts and six patent applications, our intellectual property strategy offers guidance for licensees across sectors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Strong track record in automotive heritage preservation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Proven success in IP protection and licensing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Established relationships in the collector car community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CONTACT</w:t>
      </w:r>
    </w:p>
    <w:p>
      <w:pPr>
        <w:pStyle w:val="Body"/>
        <w:bidi w:val="0"/>
      </w:pPr>
      <w:r>
        <w:rPr>
          <w:rtl w:val="0"/>
        </w:rPr>
        <w:t>Automobilia II, LLC</w:t>
      </w:r>
    </w:p>
    <w:p>
      <w:pPr>
        <w:pStyle w:val="Body"/>
        <w:bidi w:val="0"/>
      </w:pPr>
      <w:r>
        <w:rPr>
          <w:rtl w:val="0"/>
          <w:lang w:val="en-US"/>
        </w:rPr>
        <w:t>[Contact Information]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Note: We are offering patent licensing opportunities to qualified partners. Our unique patent position and technology can provide Citadel with a framework for protecting their </w:t>
      </w:r>
      <w:r>
        <w:rPr>
          <w:rtl w:val="0"/>
          <w:lang w:val="en-US"/>
        </w:rPr>
        <w:t>brand IP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18"/>
        <w:szCs w:val="18"/>
      </w:rPr>
      <w:tab/>
      <w:tab/>
    </w:r>
    <w:r>
      <w:rPr>
        <w:sz w:val="18"/>
        <w:szCs w:val="18"/>
        <w:rtl w:val="0"/>
        <w:lang w:val="en-US"/>
      </w:rPr>
      <w:t xml:space="preserve">Page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  <w:r>
      <w:rPr>
        <w:sz w:val="18"/>
        <w:szCs w:val="18"/>
        <w:rtl w:val="0"/>
        <w:lang w:val="en-US"/>
      </w:rPr>
      <w:t xml:space="preserve"> of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