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4DF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作业</w:t>
      </w:r>
      <w:r>
        <w:rPr>
          <w:rFonts w:hint="eastAsia" w:ascii="Times New Roman" w:hAnsi="Times New Roman" w:cs="Times New Roman"/>
          <w:sz w:val="28"/>
          <w:szCs w:val="28"/>
        </w:rPr>
        <w:t>一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>基于城市空气质量数据的多维特征挖掘与质量演变研究</w:t>
      </w:r>
    </w:p>
    <w:p w14:paraId="56E783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研究背景：</w:t>
      </w:r>
    </w:p>
    <w:p w14:paraId="0AB87930">
      <w:pPr>
        <w:pStyle w:val="5"/>
        <w:spacing w:before="0" w:beforeAutospacing="0" w:after="0" w:afterAutospacing="0" w:line="360" w:lineRule="exact"/>
        <w:ind w:firstLine="480" w:firstLineChars="200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利用Python网络爬虫技术，从天气回报网站（http://tianqihoubao.com/）收集2017年至2021年五年间北京每日空气质量数据，共提取有关的11个属性。</w:t>
      </w:r>
    </w:p>
    <w:p w14:paraId="620DE9DF">
      <w:pPr>
        <w:rPr>
          <w:rFonts w:hint="eastAsia"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具体任务</w:t>
      </w:r>
    </w:p>
    <w:p w14:paraId="045395A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第一阶段：数据预处理</w:t>
      </w:r>
    </w:p>
    <w:p w14:paraId="4AD1FC22">
      <w:pPr>
        <w:pStyle w:val="5"/>
        <w:spacing w:before="156" w:beforeLines="50" w:beforeAutospacing="0" w:after="0" w:afterAutospacing="0" w:line="36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任务 1：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数据清洗</w:t>
      </w:r>
      <w:r>
        <w:rPr>
          <w:rFonts w:ascii="Times New Roman" w:hAnsi="Times New Roman" w:cs="Times New Roman"/>
          <w:b/>
          <w:bCs/>
        </w:rPr>
        <w:t>（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1</w:t>
      </w:r>
      <w:r>
        <w:rPr>
          <w:rFonts w:ascii="Times New Roman" w:hAnsi="Times New Roman" w:cs="Times New Roman"/>
          <w:b/>
          <w:bCs/>
        </w:rPr>
        <w:t>0）</w:t>
      </w:r>
    </w:p>
    <w:p w14:paraId="74C2824F">
      <w:pPr>
        <w:pStyle w:val="5"/>
        <w:spacing w:before="0" w:beforeAutospacing="0" w:after="0" w:afterAutospacing="0" w:line="360" w:lineRule="exact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提示：对数据进行一致性检查、异常值的判定、重复项处理和缺失值修复等</w:t>
      </w:r>
      <w:r>
        <w:rPr>
          <w:rFonts w:hint="eastAsia" w:ascii="Times New Roman" w:hAnsi="Times New Roman" w:cs="Times New Roman"/>
        </w:rPr>
        <w:t>。</w:t>
      </w:r>
    </w:p>
    <w:p w14:paraId="4DE49BD1">
      <w:pPr>
        <w:pStyle w:val="5"/>
        <w:spacing w:before="156" w:beforeLines="50" w:beforeAutospacing="0" w:after="0" w:afterAutospacing="0" w:line="360" w:lineRule="exact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任务 2：数据标准化</w:t>
      </w:r>
      <w:r>
        <w:rPr>
          <w:rFonts w:ascii="Times New Roman" w:hAnsi="Times New Roman" w:cs="Times New Roman"/>
          <w:b/>
          <w:bCs/>
        </w:rPr>
        <w:t>（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1</w:t>
      </w:r>
      <w:r>
        <w:rPr>
          <w:rFonts w:ascii="Times New Roman" w:hAnsi="Times New Roman" w:cs="Times New Roman"/>
          <w:b/>
          <w:bCs/>
        </w:rPr>
        <w:t>0）</w:t>
      </w:r>
    </w:p>
    <w:p w14:paraId="2393AAFA">
      <w:pPr>
        <w:pStyle w:val="5"/>
        <w:spacing w:before="0" w:beforeAutospacing="0" w:after="0" w:afterAutospacing="0" w:line="360" w:lineRule="exac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提示：</w:t>
      </w:r>
      <w:r>
        <w:rPr>
          <w:rFonts w:ascii="Times New Roman" w:hAnsi="Times New Roman" w:cs="Times New Roman"/>
        </w:rPr>
        <w:t>统一日期格式为标准datetime类型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</w:rPr>
        <w:t>统一类别标签</w:t>
      </w:r>
      <w:r>
        <w:rPr>
          <w:rFonts w:hint="eastAsia" w:ascii="Times New Roman" w:hAnsi="Times New Roman" w:cs="Times New Roman"/>
          <w:lang w:val="en-US" w:eastAsia="zh-CN"/>
        </w:rPr>
        <w:t>等。</w:t>
      </w:r>
    </w:p>
    <w:p w14:paraId="650E085C">
      <w:pPr>
        <w:pStyle w:val="5"/>
        <w:spacing w:before="156" w:beforeLines="50" w:beforeAutospacing="0" w:after="0" w:afterAutospacing="0" w:line="36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任务 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3</w:t>
      </w:r>
      <w:r>
        <w:rPr>
          <w:rFonts w:ascii="Times New Roman" w:hAnsi="Times New Roman" w:cs="Times New Roman"/>
          <w:b/>
          <w:bCs/>
        </w:rPr>
        <w:t>：时间维度的特征衍生工程（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1</w:t>
      </w:r>
      <w:r>
        <w:rPr>
          <w:rFonts w:ascii="Times New Roman" w:hAnsi="Times New Roman" w:cs="Times New Roman"/>
          <w:b/>
          <w:bCs/>
        </w:rPr>
        <w:t>0）</w:t>
      </w:r>
    </w:p>
    <w:p w14:paraId="66638E68">
      <w:pPr>
        <w:pStyle w:val="5"/>
        <w:spacing w:before="0" w:beforeAutospacing="0" w:after="0" w:afterAutospacing="0" w:line="36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提示：将原始的年/月/日转化为具有科研意义的特征。从日期中衍生出季节、月份、是否周末、是否法定节假日等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挖掘人类活动与自然循环的影响</w:t>
      </w:r>
      <w:r>
        <w:rPr>
          <w:rFonts w:hint="eastAsia" w:ascii="Times New Roman" w:hAnsi="Times New Roman" w:cs="Times New Roman"/>
        </w:rPr>
        <w:t>。</w:t>
      </w:r>
    </w:p>
    <w:p w14:paraId="5F081088">
      <w:pPr>
        <w:pStyle w:val="5"/>
        <w:spacing w:before="156" w:beforeLines="50" w:beforeAutospacing="0" w:after="0" w:afterAutospacing="0" w:line="360" w:lineRule="exact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第二阶段：数据分析</w:t>
      </w:r>
    </w:p>
    <w:p w14:paraId="3A7862BE">
      <w:pPr>
        <w:pStyle w:val="5"/>
        <w:spacing w:before="156" w:beforeLines="50" w:beforeAutospacing="0" w:after="0" w:afterAutospacing="0" w:line="36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任务 1：统计描述</w:t>
      </w:r>
      <w:r>
        <w:rPr>
          <w:rFonts w:ascii="Times New Roman" w:hAnsi="Times New Roman" w:cs="Times New Roman"/>
          <w:b/>
          <w:bCs/>
        </w:rPr>
        <w:t>（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1</w:t>
      </w:r>
      <w:r>
        <w:rPr>
          <w:rFonts w:ascii="Times New Roman" w:hAnsi="Times New Roman" w:cs="Times New Roman"/>
          <w:b/>
          <w:bCs/>
        </w:rPr>
        <w:t>0）</w:t>
      </w:r>
    </w:p>
    <w:p w14:paraId="6E2BB2FD">
      <w:pPr>
        <w:pStyle w:val="5"/>
        <w:spacing w:before="0" w:beforeAutospacing="0" w:after="0" w:afterAutospacing="0" w:line="360" w:lineRule="exac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提示：</w:t>
      </w:r>
      <w:r>
        <w:rPr>
          <w:rFonts w:ascii="Times New Roman" w:hAnsi="Times New Roman" w:cs="Times New Roman"/>
        </w:rPr>
        <w:t>计算各污染物的均值、标准差、最大/最小值</w:t>
      </w:r>
      <w:r>
        <w:rPr>
          <w:rFonts w:hint="eastAsia" w:ascii="Times New Roman" w:hAnsi="Times New Roman" w:cs="Times New Roman"/>
          <w:lang w:eastAsia="zh-CN"/>
        </w:rPr>
        <w:t>等。</w:t>
      </w:r>
    </w:p>
    <w:p w14:paraId="145B1595">
      <w:pPr>
        <w:pStyle w:val="5"/>
        <w:spacing w:before="156" w:beforeLines="50" w:beforeAutospacing="0" w:after="0" w:afterAutospacing="0" w:line="360" w:lineRule="exact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任务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2</w:t>
      </w:r>
      <w:r>
        <w:rPr>
          <w:rFonts w:ascii="Times New Roman" w:hAnsi="Times New Roman" w:cs="Times New Roman"/>
          <w:b/>
          <w:bCs/>
        </w:rPr>
        <w:t>：统计发现与深度可视化（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20</w:t>
      </w:r>
      <w:r>
        <w:rPr>
          <w:rFonts w:ascii="Times New Roman" w:hAnsi="Times New Roman" w:cs="Times New Roman"/>
          <w:b/>
          <w:bCs/>
        </w:rPr>
        <w:t>）</w:t>
      </w:r>
    </w:p>
    <w:p w14:paraId="648A8A27">
      <w:pPr>
        <w:pStyle w:val="5"/>
        <w:spacing w:before="0" w:beforeAutospacing="0" w:after="0" w:afterAutospacing="0" w:line="360" w:lineRule="exact"/>
        <w:jc w:val="both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</w:rPr>
        <w:t>提示：</w:t>
      </w:r>
      <w:r>
        <w:rPr>
          <w:rFonts w:hint="eastAsia" w:ascii="Times New Roman" w:hAnsi="Times New Roman" w:cs="Times New Roman"/>
        </w:rPr>
        <w:t>根据</w:t>
      </w:r>
      <w:r>
        <w:rPr>
          <w:rFonts w:hint="eastAsia" w:ascii="Times New Roman" w:hAnsi="Times New Roman" w:cs="Times New Roman"/>
          <w:lang w:val="en-US" w:eastAsia="zh-CN"/>
        </w:rPr>
        <w:t>清洗后的</w:t>
      </w:r>
      <w:r>
        <w:rPr>
          <w:rFonts w:hint="eastAsia" w:ascii="Times New Roman" w:hAnsi="Times New Roman" w:cs="Times New Roman"/>
        </w:rPr>
        <w:t>数据，至少使用三种图进行分析，不限于</w:t>
      </w:r>
      <w:r>
        <w:rPr>
          <w:rFonts w:ascii="Times New Roman" w:hAnsi="Times New Roman" w:cs="Times New Roman"/>
        </w:rPr>
        <w:t>相关性热力图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</w:rPr>
        <w:t>时空轨迹图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</w:rPr>
        <w:t>污染物成分占比分析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箱线图</w:t>
      </w:r>
      <w:r>
        <w:rPr>
          <w:rFonts w:hint="eastAsia" w:cs="宋体"/>
          <w:sz w:val="24"/>
          <w:szCs w:val="24"/>
          <w:lang w:val="en-US" w:eastAsia="zh-CN"/>
        </w:rPr>
        <w:t>等。</w:t>
      </w:r>
    </w:p>
    <w:p w14:paraId="4EC7C504">
      <w:pPr>
        <w:pStyle w:val="5"/>
        <w:spacing w:before="156" w:beforeLines="50" w:beforeAutospacing="0" w:after="0" w:afterAutospacing="0" w:line="360" w:lineRule="exact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第三阶段：数据建模（40）</w:t>
      </w:r>
    </w:p>
    <w:p w14:paraId="27C1B19A">
      <w:pPr>
        <w:pStyle w:val="5"/>
        <w:numPr>
          <w:ilvl w:val="0"/>
          <w:numId w:val="1"/>
        </w:numPr>
        <w:spacing w:before="0" w:beforeAutospacing="0" w:after="0" w:afterAutospacing="0" w:line="36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算法选择：使用Apriori或FP-Growth算法。</w:t>
      </w:r>
    </w:p>
    <w:p w14:paraId="18BCF78C">
      <w:pPr>
        <w:pStyle w:val="5"/>
        <w:numPr>
          <w:ilvl w:val="0"/>
          <w:numId w:val="1"/>
        </w:numPr>
        <w:spacing w:before="0" w:beforeAutospacing="0" w:after="0" w:afterAutospacing="0" w:line="36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建模目标：挖掘形如 {PM2.5=高, NO2=高} -&gt; {质量等级=严重污染} 的规则</w:t>
      </w:r>
      <w:r>
        <w:rPr>
          <w:rFonts w:ascii="Times New Roman" w:hAnsi="Times New Roman" w:cs="Times New Roman"/>
        </w:rPr>
        <w:t>。</w:t>
      </w:r>
    </w:p>
    <w:p w14:paraId="12A59F90">
      <w:pPr>
        <w:pStyle w:val="5"/>
        <w:numPr>
          <w:ilvl w:val="0"/>
          <w:numId w:val="1"/>
        </w:numPr>
        <w:spacing w:before="0" w:beforeAutospacing="0" w:after="0" w:afterAutospacing="0" w:line="36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参数调优：设定合理的支持度（Support）和置信度（Confidence）阈值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7E26B6D3">
      <w:pPr>
        <w:pStyle w:val="5"/>
        <w:numPr>
          <w:ilvl w:val="0"/>
          <w:numId w:val="1"/>
        </w:numPr>
        <w:spacing w:before="0" w:beforeAutospacing="0" w:after="0" w:afterAutospacing="0" w:line="36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规则评价：通过 提升度（Lift） 筛选出有意义的强关联规则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64FBB0B4">
      <w:pPr>
        <w:pStyle w:val="5"/>
        <w:numPr>
          <w:ilvl w:val="0"/>
          <w:numId w:val="1"/>
        </w:numPr>
        <w:spacing w:before="0" w:beforeAutospacing="0" w:after="0" w:afterAutospacing="0" w:line="360" w:lineRule="exac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结果解释：</w:t>
      </w:r>
      <w:r>
        <w:rPr>
          <w:rFonts w:ascii="Times New Roman" w:hAnsi="Times New Roman" w:cs="Times New Roman"/>
        </w:rPr>
        <w:t>解释挖掘出的强关联规则</w:t>
      </w:r>
      <w:r>
        <w:rPr>
          <w:rFonts w:hint="eastAsia" w:ascii="Times New Roman" w:hAnsi="Times New Roman" w:cs="Times New Roman"/>
          <w:lang w:val="en-US" w:eastAsia="zh-CN"/>
        </w:rPr>
        <w:t>并</w:t>
      </w:r>
      <w:r>
        <w:rPr>
          <w:rFonts w:ascii="宋体" w:hAnsi="宋体" w:eastAsia="宋体" w:cs="宋体"/>
          <w:sz w:val="24"/>
          <w:szCs w:val="24"/>
        </w:rPr>
        <w:t>给出空气质量治理的建议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153178CC">
      <w:pPr>
        <w:pStyle w:val="5"/>
        <w:spacing w:before="156" w:beforeLines="50" w:beforeAutospacing="0" w:after="0" w:afterAutospacing="0" w:line="360" w:lineRule="exact"/>
        <w:rPr>
          <w:rFonts w:ascii="Times New Roman" w:hAnsi="Times New Roman" w:cs="Times New Roman"/>
          <w:b/>
          <w:bCs/>
        </w:rPr>
      </w:pPr>
    </w:p>
    <w:p w14:paraId="029F681A">
      <w:pPr>
        <w:spacing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提交要求</w:t>
      </w:r>
    </w:p>
    <w:p w14:paraId="3869705B">
      <w:pPr>
        <w:pStyle w:val="5"/>
        <w:numPr>
          <w:ilvl w:val="0"/>
          <w:numId w:val="2"/>
        </w:numPr>
        <w:spacing w:before="0" w:beforeAutospacing="0" w:after="0" w:afterAutospacing="0" w:line="360" w:lineRule="exact"/>
        <w:ind w:left="357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数据集处理清单：一份描述数据清洗前后的统计对比表（如：清洗前缺失率 5%，清洗后 0%）。</w:t>
      </w:r>
    </w:p>
    <w:p w14:paraId="400834C5">
      <w:pPr>
        <w:pStyle w:val="5"/>
        <w:numPr>
          <w:ilvl w:val="0"/>
          <w:numId w:val="2"/>
        </w:numPr>
        <w:spacing w:before="0" w:beforeAutospacing="0" w:after="0" w:afterAutospacing="0" w:line="360" w:lineRule="exact"/>
        <w:ind w:left="357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分析报告 (Scientific Report)：包含：摘要</w:t>
      </w:r>
      <w:r>
        <w:rPr>
          <w:rFonts w:hint="eastAsia"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数据预处理流程</w:t>
      </w:r>
      <w:r>
        <w:rPr>
          <w:rFonts w:hint="eastAsia"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可视化发现</w:t>
      </w:r>
      <w:r>
        <w:rPr>
          <w:rFonts w:hint="eastAsia"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挖掘结论</w:t>
      </w:r>
      <w:r>
        <w:rPr>
          <w:rFonts w:hint="eastAsia" w:ascii="Times New Roman" w:hAnsi="Times New Roman" w:cs="Times New Roman"/>
        </w:rPr>
        <w:t>等</w:t>
      </w:r>
      <w:r>
        <w:rPr>
          <w:rFonts w:ascii="Times New Roman" w:hAnsi="Times New Roman" w:cs="Times New Roman"/>
        </w:rPr>
        <w:t>。</w:t>
      </w:r>
    </w:p>
    <w:p w14:paraId="0CCDEB42">
      <w:pPr>
        <w:pStyle w:val="5"/>
        <w:numPr>
          <w:ilvl w:val="0"/>
          <w:numId w:val="2"/>
        </w:numPr>
        <w:spacing w:before="0" w:beforeAutospacing="0" w:after="0" w:afterAutospacing="0" w:line="360" w:lineRule="exact"/>
        <w:ind w:left="357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代码附件：推荐使用 Python (Pandas + Seaborn) 或 R 语言。</w:t>
      </w:r>
    </w:p>
    <w:p w14:paraId="35D46A30">
      <w:pPr>
        <w:rPr>
          <w:rFonts w:hint="eastAsia"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作业</w:t>
      </w:r>
      <w:r>
        <w:rPr>
          <w:rFonts w:hint="eastAsia" w:ascii="Times New Roman" w:hAnsi="Times New Roman" w:cs="Times New Roman"/>
          <w:sz w:val="28"/>
          <w:szCs w:val="28"/>
        </w:rPr>
        <w:t>二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</w:rPr>
        <w:t>植物叶片光合生理指标的高光谱特征提取与预测模型构建</w:t>
      </w:r>
    </w:p>
    <w:p w14:paraId="0C1932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研究背景：</w:t>
      </w:r>
    </w:p>
    <w:p w14:paraId="7C046C05">
      <w:pPr>
        <w:pStyle w:val="5"/>
        <w:spacing w:before="0" w:beforeAutospacing="0" w:after="0" w:afterAutospacing="0" w:line="400" w:lineRule="exact"/>
        <w:ind w:firstLine="480" w:firstLineChars="200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在植物表型研究中，非接触式监测叶片的SPAD、光合速率（Pn）、氮含量（LNC）等指标对育种和精准栽培至关重要。本项目模拟从原始传感器信号到生理洞察的完整数据挖掘流程，重点在于处理校准过程中的噪声，并挖掘光谱响应与生理指标之间的内在逻辑。</w:t>
      </w:r>
    </w:p>
    <w:p w14:paraId="04F43B07">
      <w:pPr>
        <w:pStyle w:val="5"/>
        <w:spacing w:before="0" w:beforeAutospacing="0" w:after="0" w:afterAutospacing="0" w:line="400" w:lineRule="exact"/>
        <w:ind w:firstLine="480" w:firstLineChars="200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相关数据说明：</w:t>
      </w:r>
    </w:p>
    <w:p w14:paraId="13F7D9FC">
      <w:pPr>
        <w:pStyle w:val="5"/>
        <w:spacing w:before="0" w:beforeAutospacing="0" w:after="0" w:afterAutospacing="0" w:line="400" w:lineRule="exact"/>
        <w:ind w:firstLine="480" w:firstLineChars="200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Raw_Spectra文件夹：包含6个叶片原始采集的高光谱数据，</w:t>
      </w:r>
      <w:r>
        <w:rPr>
          <w:rFonts w:ascii="宋体" w:hAnsi="宋体" w:eastAsia="宋体" w:cs="宋体"/>
          <w:sz w:val="24"/>
          <w:szCs w:val="24"/>
        </w:rPr>
        <w:t xml:space="preserve">采用 ENVI 标准格式，每组数据由 </w:t>
      </w:r>
      <w:r>
        <w:rPr>
          <w:rStyle w:val="8"/>
          <w:rFonts w:ascii="宋体" w:hAnsi="宋体" w:eastAsia="宋体" w:cs="宋体"/>
          <w:sz w:val="24"/>
          <w:szCs w:val="24"/>
        </w:rPr>
        <w:t>.raw</w:t>
      </w:r>
      <w:r>
        <w:rPr>
          <w:rFonts w:ascii="宋体" w:hAnsi="宋体" w:eastAsia="宋体" w:cs="宋体"/>
          <w:sz w:val="24"/>
          <w:szCs w:val="24"/>
        </w:rPr>
        <w:t>（原始二进制数</w:t>
      </w:r>
      <w:r>
        <w:rPr>
          <w:rFonts w:hint="eastAsia" w:ascii="Times New Roman" w:hAnsi="Times New Roman" w:cs="Times New Roman"/>
          <w:lang w:val="en-US" w:eastAsia="zh-CN"/>
        </w:rPr>
        <w:t>据）与 .hdr（头文件，包含波段信息与元数据）共同构成</w:t>
      </w:r>
      <w:r>
        <w:rPr>
          <w:rFonts w:hint="eastAsia" w:ascii="Times New Roman" w:hAnsi="Times New Roman" w:cs="Times New Roman"/>
          <w:lang w:val="en-US" w:eastAsia="zh-CN"/>
        </w:rPr>
        <w:t>。以命名为“20210927092826”该组数据为例，文件夹中“20210927092826B”表示反射率为3%的参考板的高光谱数据，“20210927092826W”为反射率为30%的参考板的高光谱数据，“20210927092826P”为叶片的高光谱数据（20210927092826对应的是原始整个植株的高光谱数据，本次实验不涉及该数据的处理），30%和3%参考板的反射率真值见附件date_FGB.csv文件</w:t>
      </w:r>
    </w:p>
    <w:p w14:paraId="6F906984">
      <w:pPr>
        <w:pStyle w:val="5"/>
        <w:spacing w:before="0" w:beforeAutospacing="0" w:after="0" w:afterAutospacing="0" w:line="400" w:lineRule="exact"/>
        <w:ind w:firstLine="480" w:firstLineChars="20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生理指标：包含与高光谱样本一一对应的生理参数实测值，涵盖叶绿素相对含量（SPAD）、净光合速率（Pn）、叶片全氮含量（LNC）、叶绿素 a（Ca）、叶绿素 b（Cb）以及比叶重（SLW），真值</w:t>
      </w:r>
      <w:r>
        <w:rPr>
          <w:rFonts w:hint="eastAsia" w:ascii="Times New Roman" w:hAnsi="Times New Roman" w:cs="Times New Roman"/>
          <w:lang w:val="en-US" w:eastAsia="zh-CN"/>
        </w:rPr>
        <w:t>见附件GT_values.csv。</w:t>
      </w:r>
    </w:p>
    <w:p w14:paraId="0ADBDDF0">
      <w:pPr>
        <w:rPr>
          <w:rFonts w:hint="eastAsia"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具体任务</w:t>
      </w:r>
    </w:p>
    <w:p w14:paraId="5F490804">
      <w:pPr>
        <w:pStyle w:val="5"/>
        <w:spacing w:before="156" w:beforeLines="50" w:beforeAutospacing="0" w:after="0" w:afterAutospacing="0" w:line="360" w:lineRule="exact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任务 1：反射率的校准与提取</w:t>
      </w:r>
      <w:r>
        <w:rPr>
          <w:rFonts w:ascii="Times New Roman" w:hAnsi="Times New Roman" w:cs="Times New Roman"/>
          <w:b/>
          <w:bCs/>
        </w:rPr>
        <w:t>（30）</w:t>
      </w:r>
    </w:p>
    <w:p w14:paraId="0D4061F6">
      <w:pPr>
        <w:pStyle w:val="5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反射率计算：编写代码读取.raw 数据，利用下述公式将DN值转换为反射率。</w:t>
      </w:r>
    </w:p>
    <w:p w14:paraId="2E7B727F">
      <w:pPr>
        <w:jc w:val="center"/>
        <w:rPr>
          <w:position w:val="-28"/>
        </w:rPr>
      </w:pPr>
      <w:r>
        <w:rPr>
          <w:position w:val="-26"/>
        </w:rPr>
        <w:object>
          <v:shape id="_x0000_i1028" o:spt="75" alt="" type="#_x0000_t75" style="height:30.5pt;width:151.7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28" DrawAspect="Content" ObjectID="_1468075725" r:id="rId4">
            <o:LockedField>false</o:LockedField>
          </o:OLEObject>
        </w:object>
      </w:r>
    </w:p>
    <w:p w14:paraId="0E50F296">
      <w:pPr>
        <w:pStyle w:val="5"/>
        <w:spacing w:before="0" w:beforeAutospacing="0" w:after="0" w:afterAutospacing="0" w:line="360" w:lineRule="exact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其中，DN表示原始高光谱数据中读取的数字真值，R为反射率值，30%和3%参考板对应的反射率值R见data_FGB.csv文件。</w:t>
      </w:r>
    </w:p>
    <w:p w14:paraId="003AB992">
      <w:pPr>
        <w:pStyle w:val="5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光谱曲线绘制：绘制 6 组叶片样本在全波段下的反射率曲线，并标注出主要的植物光谱特征点（如 550nm 绿峰、680nm 吸收坑）。</w:t>
      </w:r>
    </w:p>
    <w:p w14:paraId="386435AD">
      <w:pPr>
        <w:pStyle w:val="5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数据关联拼接：将校准后的光谱反射率特征与 GT_values.csv 中的生理指标（SPAD, Pn, LNC, Ca, Cb, SLW）通过样本编号进行横向合并，生成用于后续建模的完整矩阵，并保存为 calibrated_phenotype_data.csv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3538CE33">
      <w:pPr>
        <w:pStyle w:val="5"/>
        <w:spacing w:before="156" w:beforeLines="50" w:beforeAutospacing="0" w:after="0" w:afterAutospacing="0" w:line="360" w:lineRule="exact"/>
        <w:rPr>
          <w:rFonts w:ascii="Times New Roman" w:hAnsi="Times New Roman" w:cs="Times New Roman"/>
          <w:b/>
          <w:bCs/>
        </w:rPr>
      </w:pPr>
    </w:p>
    <w:p w14:paraId="23B85460">
      <w:pPr>
        <w:pStyle w:val="5"/>
        <w:spacing w:before="156" w:beforeLines="50" w:beforeAutospacing="0" w:after="0" w:afterAutospacing="0" w:line="360" w:lineRule="exact"/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任务 2：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光谱数据预处理</w:t>
      </w:r>
      <w:r>
        <w:rPr>
          <w:rFonts w:ascii="Times New Roman" w:hAnsi="Times New Roman" w:cs="Times New Roman"/>
          <w:b/>
          <w:bCs/>
        </w:rPr>
        <w:t>（20）</w:t>
      </w:r>
    </w:p>
    <w:p w14:paraId="44C561DE">
      <w:pPr>
        <w:pStyle w:val="5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光谱平滑（Smoothing）：</w:t>
      </w:r>
      <w:r>
        <w:rPr>
          <w:rFonts w:hint="eastAsia" w:ascii="Times New Roman" w:hAnsi="Times New Roman" w:cs="Times New Roman"/>
          <w:lang w:val="en-US" w:eastAsia="zh-CN"/>
        </w:rPr>
        <w:t>对校准后的数据使用</w:t>
      </w:r>
      <w:r>
        <w:rPr>
          <w:rFonts w:hint="eastAsia" w:ascii="Times New Roman" w:hAnsi="Times New Roman" w:cs="Times New Roman"/>
        </w:rPr>
        <w:t>Savitzky-Golay (SG)</w:t>
      </w:r>
      <w:r>
        <w:rPr>
          <w:rFonts w:hint="eastAsia" w:ascii="Times New Roman" w:hAnsi="Times New Roman" w:cs="Times New Roman"/>
          <w:lang w:val="en-US" w:eastAsia="zh-CN"/>
        </w:rPr>
        <w:t>进行平滑过滤处理，并</w:t>
      </w:r>
      <w:r>
        <w:rPr>
          <w:rFonts w:hint="eastAsia" w:ascii="Times New Roman" w:hAnsi="Times New Roman" w:cs="Times New Roman"/>
        </w:rPr>
        <w:t>对比原始数据与经过处理后的曲线，观察噪声滤除效果。</w:t>
      </w:r>
    </w:p>
    <w:p w14:paraId="67163CAC">
      <w:pPr>
        <w:pStyle w:val="5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基线校正（Correction）：尝试使用一阶导数（First Derivative）或多元散射校正（MSC）处理光谱，观察其是否能增强光谱中的吸收特征峰。</w:t>
      </w:r>
    </w:p>
    <w:p w14:paraId="39FFBC69">
      <w:pPr>
        <w:pStyle w:val="5"/>
        <w:spacing w:before="156" w:beforeLines="50" w:beforeAutospacing="0" w:after="0" w:afterAutospacing="0" w:line="360" w:lineRule="exact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任务</w:t>
      </w:r>
      <w:r>
        <w:rPr>
          <w:rFonts w:ascii="Times New Roman" w:hAnsi="Times New Roman" w:cs="Times New Roman"/>
          <w:b/>
          <w:bCs/>
        </w:rPr>
        <w:t xml:space="preserve"> 3：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-SA"/>
        </w:rPr>
        <w:t>特征工程与生理指标关联分析</w:t>
      </w:r>
      <w:r>
        <w:rPr>
          <w:rFonts w:ascii="Times New Roman" w:hAnsi="Times New Roman" w:cs="Times New Roman"/>
          <w:b/>
          <w:bCs/>
        </w:rPr>
        <w:t>（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30</w:t>
      </w:r>
      <w:r>
        <w:rPr>
          <w:rFonts w:ascii="Times New Roman" w:hAnsi="Times New Roman" w:cs="Times New Roman"/>
          <w:b/>
          <w:bCs/>
        </w:rPr>
        <w:t>）</w:t>
      </w:r>
    </w:p>
    <w:p w14:paraId="25946BC9">
      <w:pPr>
        <w:pStyle w:val="5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相关性分析：</w:t>
      </w:r>
      <w:r>
        <w:rPr>
          <w:rFonts w:hint="default" w:ascii="Times New Roman" w:hAnsi="Times New Roman" w:cs="Times New Roman"/>
        </w:rPr>
        <w:t>针对校准后的全波段反射率数据，分别计算其与 6 种生理指标（SPAD, Pn, LNC, Ca, Cb, SLW）的皮尔逊相关系数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绘制相关性系数谱图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并</w:t>
      </w:r>
      <w:r>
        <w:rPr>
          <w:rFonts w:hint="default" w:ascii="Times New Roman" w:hAnsi="Times New Roman" w:cs="Times New Roman"/>
        </w:rPr>
        <w:t>在报告中指出每种生理指标对应的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敏感波长区域</w:t>
      </w:r>
      <w:r>
        <w:rPr>
          <w:rFonts w:hint="eastAsia" w:ascii="Times New Roman" w:hAnsi="Times New Roman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（即相关系数绝对值最大的区域）</w:t>
      </w:r>
      <w:r>
        <w:rPr>
          <w:rFonts w:hint="eastAsia" w:ascii="Times New Roman" w:hAnsi="Times New Roman" w:cs="Times New Roman"/>
        </w:rPr>
        <w:t>。</w:t>
      </w:r>
    </w:p>
    <w:p w14:paraId="69F7227F">
      <w:pPr>
        <w:pStyle w:val="5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特征降维对比：使用 PCA（主成分分析），观察前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个主成分能解释多少方差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并</w:t>
      </w:r>
      <w:r>
        <w:rPr>
          <w:rFonts w:ascii="宋体" w:hAnsi="宋体" w:eastAsia="宋体" w:cs="宋体"/>
          <w:sz w:val="24"/>
          <w:szCs w:val="24"/>
        </w:rPr>
        <w:t>绘制前三个主成分的 3D 散点图</w:t>
      </w:r>
      <w:r>
        <w:rPr>
          <w:rFonts w:ascii="Times New Roman" w:hAnsi="Times New Roman" w:cs="Times New Roman"/>
        </w:rPr>
        <w:t>。</w:t>
      </w:r>
    </w:p>
    <w:p w14:paraId="48F3541A">
      <w:pPr>
        <w:pStyle w:val="5"/>
        <w:spacing w:before="156" w:beforeLines="50" w:beforeAutospacing="0" w:after="0" w:afterAutospacing="0" w:line="360" w:lineRule="exact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任务</w:t>
      </w:r>
      <w:r>
        <w:rPr>
          <w:rFonts w:ascii="Times New Roman" w:hAnsi="Times New Roman" w:cs="Times New Roman"/>
          <w:b/>
          <w:bCs/>
        </w:rPr>
        <w:t xml:space="preserve"> 4：</w:t>
      </w:r>
      <w:r>
        <w:rPr>
          <w:rFonts w:hint="eastAsia" w:ascii="Times New Roman" w:hAnsi="Times New Roman" w:cs="Times New Roman"/>
          <w:b/>
          <w:bCs/>
        </w:rPr>
        <w:t>光合能力预测建模与评估</w:t>
      </w:r>
      <w:r>
        <w:rPr>
          <w:rFonts w:ascii="Times New Roman" w:hAnsi="Times New Roman" w:cs="Times New Roman"/>
          <w:b/>
          <w:bCs/>
        </w:rPr>
        <w:t>（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20</w:t>
      </w:r>
      <w:r>
        <w:rPr>
          <w:rFonts w:ascii="Times New Roman" w:hAnsi="Times New Roman" w:cs="Times New Roman"/>
          <w:b/>
          <w:bCs/>
        </w:rPr>
        <w:t>）</w:t>
      </w:r>
    </w:p>
    <w:p w14:paraId="09864371">
      <w:pPr>
        <w:pStyle w:val="5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基准模型对比：建立经典的 PLSR（偏最小二乘回归） 与机器学习模型（如随机森林）进行对比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</w:rPr>
        <w:t>由于样本量有限，重点观察 PLSR 模型的拟合趋势，并</w:t>
      </w:r>
      <w:r>
        <w:rPr>
          <w:rFonts w:hint="eastAsia" w:ascii="Times New Roman" w:hAnsi="Times New Roman" w:cs="Times New Roman"/>
          <w:lang w:val="en-US" w:eastAsia="zh-CN"/>
        </w:rPr>
        <w:t>尝试可能的数据增强方式</w:t>
      </w:r>
      <w:r>
        <w:rPr>
          <w:rFonts w:hint="eastAsia" w:ascii="Times New Roman" w:hAnsi="Times New Roman" w:cs="Times New Roman"/>
        </w:rPr>
        <w:t>。</w:t>
      </w:r>
    </w:p>
    <w:p w14:paraId="740BA81B">
      <w:pPr>
        <w:pStyle w:val="5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性能评价：计算 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eastAsia" w:ascii="Times New Roman" w:hAnsi="Times New Roman" w:cs="Times New Roman"/>
        </w:rPr>
        <w:t>、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RMSE</m:t>
        </m:r>
      </m:oMath>
      <w:r>
        <w:rPr>
          <w:rFonts w:hint="eastAsia" w:ascii="Times New Roman" w:hAnsi="Times New Roman" w:cs="Times New Roman"/>
        </w:rPr>
        <w:t xml:space="preserve">（均方根误差）和 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RPD</m:t>
        </m:r>
      </m:oMath>
      <w:r>
        <w:rPr>
          <w:rFonts w:hint="eastAsia" w:ascii="Times New Roman" w:hAnsi="Times New Roman" w:cs="Times New Roman"/>
        </w:rPr>
        <w:t>（相对分析误差）。</w:t>
      </w:r>
    </w:p>
    <w:p w14:paraId="062D66F6">
      <w:pPr>
        <w:pStyle w:val="5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结果分析：</w:t>
      </w:r>
      <w:r>
        <w:rPr>
          <w:rFonts w:ascii="宋体" w:hAnsi="宋体" w:eastAsia="宋体" w:cs="宋体"/>
          <w:sz w:val="24"/>
          <w:szCs w:val="24"/>
        </w:rPr>
        <w:t>绘制“预测值 vs 真实值”拟合散点图</w:t>
      </w:r>
      <w:r>
        <w:rPr>
          <w:rFonts w:hint="eastAsia" w:ascii="Times New Roman" w:hAnsi="Times New Roman" w:cs="Times New Roman"/>
        </w:rPr>
        <w:t>。</w:t>
      </w:r>
    </w:p>
    <w:p w14:paraId="16D398C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提交要求</w:t>
      </w:r>
    </w:p>
    <w:p w14:paraId="55223B53">
      <w:pPr>
        <w:pStyle w:val="5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实验</w:t>
      </w:r>
      <w:r>
        <w:rPr>
          <w:rFonts w:ascii="Times New Roman" w:hAnsi="Times New Roman" w:cs="Times New Roman"/>
        </w:rPr>
        <w:t>报告</w:t>
      </w:r>
      <w:r>
        <w:rPr>
          <w:rFonts w:hint="eastAsia"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包含：摘要</w:t>
      </w:r>
      <w:r>
        <w:rPr>
          <w:rFonts w:hint="eastAsia"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数据预处理流程</w:t>
      </w:r>
      <w:r>
        <w:rPr>
          <w:rFonts w:hint="eastAsia"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可视化发现</w:t>
      </w:r>
      <w:r>
        <w:rPr>
          <w:rFonts w:hint="eastAsia"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挖掘结论</w:t>
      </w:r>
      <w:r>
        <w:rPr>
          <w:rFonts w:hint="eastAsia" w:ascii="Times New Roman" w:hAnsi="Times New Roman" w:cs="Times New Roman"/>
        </w:rPr>
        <w:t>等</w:t>
      </w:r>
      <w:r>
        <w:rPr>
          <w:rFonts w:ascii="Times New Roman" w:hAnsi="Times New Roman" w:cs="Times New Roman"/>
        </w:rPr>
        <w:t>。</w:t>
      </w:r>
    </w:p>
    <w:p w14:paraId="1D4AB566">
      <w:pPr>
        <w:pStyle w:val="5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代码附件</w:t>
      </w:r>
      <w:r>
        <w:rPr>
          <w:rFonts w:hint="eastAsia" w:ascii="Times New Roman" w:hAnsi="Times New Roman" w:cs="Times New Roman"/>
        </w:rPr>
        <w:t>。</w:t>
      </w:r>
    </w:p>
    <w:p w14:paraId="1C403379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F3E95"/>
    <w:multiLevelType w:val="multilevel"/>
    <w:tmpl w:val="007F3E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AE357AC"/>
    <w:multiLevelType w:val="multilevel"/>
    <w:tmpl w:val="0AE357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2F86D0E"/>
    <w:multiLevelType w:val="multilevel"/>
    <w:tmpl w:val="42F86D0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A2058F2"/>
    <w:multiLevelType w:val="multilevel"/>
    <w:tmpl w:val="5A2058F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539"/>
    <w:rsid w:val="000A2C2B"/>
    <w:rsid w:val="001D553E"/>
    <w:rsid w:val="00574E57"/>
    <w:rsid w:val="005F30D0"/>
    <w:rsid w:val="00633F07"/>
    <w:rsid w:val="00651FF6"/>
    <w:rsid w:val="0067299A"/>
    <w:rsid w:val="006933FF"/>
    <w:rsid w:val="009D6E29"/>
    <w:rsid w:val="00A47666"/>
    <w:rsid w:val="00B21172"/>
    <w:rsid w:val="00BD3539"/>
    <w:rsid w:val="00C74146"/>
    <w:rsid w:val="00D27A7C"/>
    <w:rsid w:val="00D34052"/>
    <w:rsid w:val="00DC1F66"/>
    <w:rsid w:val="00E3009D"/>
    <w:rsid w:val="0F3B0AC2"/>
    <w:rsid w:val="19783A7F"/>
    <w:rsid w:val="3A421B87"/>
    <w:rsid w:val="500272A2"/>
    <w:rsid w:val="5BF7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math-inline"/>
    <w:basedOn w:val="7"/>
    <w:qFormat/>
    <w:uiPriority w:val="0"/>
  </w:style>
  <w:style w:type="character" w:customStyle="1" w:styleId="12">
    <w:name w:val="标题 3 字符"/>
    <w:basedOn w:val="7"/>
    <w:link w:val="2"/>
    <w:qFormat/>
    <w:uiPriority w:val="9"/>
    <w:rPr>
      <w:rFonts w:ascii="宋体" w:hAnsi="宋体" w:cs="宋体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704</Words>
  <Characters>863</Characters>
  <Lines>13</Lines>
  <Paragraphs>3</Paragraphs>
  <TotalTime>9</TotalTime>
  <ScaleCrop>false</ScaleCrop>
  <LinksUpToDate>false</LinksUpToDate>
  <CharactersWithSpaces>890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2026-03-19T05:04:00Z</dcterms:created>
  <dc:creator>梦琪 张</dc:creator>
  <cp:lastModifiedBy>张梦琪</cp:lastModifiedBy>
  <cp:lastPrinted>2026-04-20T07:57:55Z</cp:lastPrinted>
  <dcterms:modified xsi:type="dcterms:W3CDTF">2026-04-20T08:01:40Z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eyJoZGlkIjoiZDFjMjNhNDA4OGVmM2M0ZDYxMWI4MmNiNjc1ODJkZDciLCJ1c2VySWQiOiIxNzY4OTYwMzU4In0=</vt:lpwstr>
  </property>
  <property fmtid="{D5CDD505-2E9C-101B-9397-08002B2CF9AE}" pid="4" name="KSOProductBuildVer">
    <vt:lpwstr>2052-12.1.0.24031</vt:lpwstr>
  </property>
  <property fmtid="{D5CDD505-2E9C-101B-9397-08002B2CF9AE}" pid="5" name="ICV">
    <vt:lpwstr>C34F79144A7E46889E9B86EAD433498E_13</vt:lpwstr>
  </property>
</Properties>
</file>