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44"/>
        </w:rPr>
      </w:pPr>
      <w:r>
        <w:rPr>
          <w:rFonts w:hint="eastAsia" w:eastAsia="黑体"/>
          <w:b/>
          <w:sz w:val="44"/>
        </w:rPr>
        <w:drawing>
          <wp:inline distT="0" distB="0" distL="0" distR="0">
            <wp:extent cx="2562225" cy="838200"/>
            <wp:effectExtent l="0" t="0" r="3175"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jc w:val="center"/>
        <w:outlineLvl w:val="0"/>
        <w:rPr>
          <w:rFonts w:hint="eastAsia" w:eastAsia="黑体"/>
          <w:b/>
          <w:sz w:val="44"/>
          <w:lang w:eastAsia="zh-CN"/>
        </w:rPr>
      </w:pPr>
      <w:r>
        <w:rPr>
          <w:rFonts w:hint="eastAsia" w:eastAsia="黑体"/>
          <w:b/>
          <w:sz w:val="44"/>
        </w:rPr>
        <w:t>本科生毕业设计（论文）</w:t>
      </w:r>
      <w:r>
        <w:rPr>
          <w:rFonts w:hint="eastAsia" w:eastAsia="黑体"/>
          <w:b/>
          <w:sz w:val="44"/>
          <w:lang w:eastAsia="zh-CN"/>
        </w:rPr>
        <w:t>外文翻译</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r>
        <w:rPr>
          <w:rFonts w:hint="eastAsia" w:ascii="黑体" w:hAnsi="黑体" w:eastAsia="黑体"/>
          <w:b/>
          <w:sz w:val="32"/>
          <w:szCs w:val="36"/>
          <w:lang w:eastAsia="zh-CN"/>
        </w:rPr>
        <w:t>外文原文题目：</w:t>
      </w:r>
      <w:r>
        <w:rPr>
          <w:rFonts w:hint="eastAsia" w:ascii="Times New Roman" w:hAnsi="Times New Roman" w:eastAsia="黑体"/>
          <w:b/>
          <w:sz w:val="32"/>
          <w:szCs w:val="36"/>
          <w:lang w:val="en-US" w:eastAsia="zh-CN"/>
        </w:rPr>
        <w:t>Feature</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analysis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of</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multidisciplinary</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scientific</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collaboration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patterns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based</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PNAS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pPr>
      <w:r>
        <w:rPr>
          <w:rFonts w:hint="eastAsia" w:ascii="黑体" w:hAnsi="黑体" w:eastAsia="黑体"/>
          <w:b/>
          <w:sz w:val="32"/>
          <w:szCs w:val="36"/>
          <w:lang w:eastAsia="zh-CN"/>
        </w:rPr>
        <w:t>中文译文题目：基于</w:t>
      </w:r>
      <w:r>
        <w:rPr>
          <w:rFonts w:hint="eastAsia" w:ascii="Times New Roman" w:hAnsi="Times New Roman" w:eastAsia="黑体"/>
          <w:b/>
          <w:sz w:val="32"/>
          <w:szCs w:val="36"/>
          <w:lang w:eastAsia="zh-CN"/>
        </w:rPr>
        <w:t>PNAS</w:t>
      </w:r>
      <w:r>
        <w:rPr>
          <w:rFonts w:hint="eastAsia" w:ascii="黑体" w:hAnsi="黑体" w:eastAsia="黑体"/>
          <w:b/>
          <w:sz w:val="32"/>
          <w:szCs w:val="36"/>
          <w:lang w:eastAsia="zh-CN"/>
        </w:rPr>
        <w:t>的多学科科学合作模式的特色分析</w:t>
      </w:r>
    </w:p>
    <w:p>
      <w:pPr>
        <w:rPr>
          <w:sz w:val="10"/>
        </w:rPr>
      </w:pPr>
      <w:bookmarkStart w:id="2" w:name="_GoBack"/>
      <w:bookmarkEnd w:id="2"/>
    </w:p>
    <w:p>
      <w:pPr>
        <w:keepNext w:val="0"/>
        <w:keepLines w:val="0"/>
        <w:widowControl/>
        <w:suppressLineNumbers w:val="0"/>
        <w:jc w:val="left"/>
      </w:pPr>
      <w:r>
        <w:rPr>
          <w:rFonts w:hint="eastAsia" w:ascii="黑体" w:hAnsi="黑体" w:eastAsia="黑体"/>
          <w:b/>
          <w:sz w:val="32"/>
          <w:szCs w:val="36"/>
          <w:lang w:eastAsia="zh-CN"/>
        </w:rPr>
        <w:t>毕业设计（论文）</w:t>
      </w:r>
      <w:r>
        <w:rPr>
          <w:rFonts w:hint="eastAsia" w:ascii="黑体" w:hAnsi="黑体" w:eastAsia="黑体"/>
          <w:b/>
          <w:sz w:val="32"/>
          <w:szCs w:val="36"/>
        </w:rPr>
        <w:t>题目：</w:t>
      </w:r>
      <w:r>
        <w:rPr>
          <w:rFonts w:hint="eastAsia" w:ascii="黑体" w:hAnsi="宋体" w:eastAsia="黑体" w:cs="黑体"/>
          <w:b/>
          <w:bCs/>
          <w:color w:val="000000"/>
          <w:kern w:val="0"/>
          <w:sz w:val="31"/>
          <w:szCs w:val="31"/>
          <w:lang w:val="en-US" w:eastAsia="zh-Hans" w:bidi="ar"/>
        </w:rPr>
        <w:t>美国科学研究系统建模及合作模式挖掘</w:t>
      </w:r>
    </w:p>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eastAsiaTheme="minorEastAsia"/>
          <w:b/>
          <w:bCs/>
          <w:sz w:val="44"/>
          <w:lang w:eastAsia="zh-Hans"/>
        </w:rPr>
        <w:sectPr>
          <w:headerReference r:id="rId6" w:type="first"/>
          <w:footerReference r:id="rId9" w:type="first"/>
          <w:headerReference r:id="rId4" w:type="default"/>
          <w:footerReference r:id="rId7" w:type="default"/>
          <w:headerReference r:id="rId5" w:type="even"/>
          <w:footerReference r:id="rId8"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bidi w:val="0"/>
        <w:jc w:val="both"/>
        <w:rPr>
          <w:rFonts w:hint="eastAsia"/>
          <w:b/>
          <w:bCs/>
          <w:lang w:eastAsia="zh-CN"/>
        </w:rPr>
      </w:pPr>
    </w:p>
    <w:p>
      <w:pPr>
        <w:spacing w:before="0" w:beforeLines="0" w:line="400" w:lineRule="exact"/>
        <w:ind w:firstLine="480"/>
        <w:rPr>
          <w:rFonts w:hint="eastAsia"/>
          <w:sz w:val="24"/>
          <w:szCs w:val="32"/>
          <w:lang w:eastAsia="zh-CN"/>
        </w:rPr>
      </w:pPr>
    </w:p>
    <w:p>
      <w:pPr>
        <w:adjustRightInd w:val="0"/>
        <w:spacing w:beforeLines="0" w:after="360" w:line="240" w:lineRule="auto"/>
        <w:ind w:firstLine="0" w:firstLineChars="0"/>
        <w:jc w:val="center"/>
        <w:outlineLvl w:val="0"/>
        <w:rPr>
          <w:rFonts w:hint="eastAsia"/>
          <w:b/>
          <w:sz w:val="44"/>
          <w:lang w:val="en-US" w:eastAsia="zh-CN"/>
        </w:rPr>
      </w:pPr>
      <w:bookmarkStart w:id="0" w:name="_Toc464327621"/>
      <w:bookmarkStart w:id="1" w:name="_Toc464325077"/>
      <w:r>
        <w:rPr>
          <w:rFonts w:hint="eastAsia"/>
          <w:b/>
          <w:sz w:val="44"/>
          <w:lang w:val="en-US" w:eastAsia="zh-CN"/>
        </w:rPr>
        <w:t>摘  要</w:t>
      </w:r>
      <w:bookmarkEnd w:id="0"/>
      <w:bookmarkEnd w:id="1"/>
    </w:p>
    <w:p>
      <w:pPr>
        <w:pStyle w:val="11"/>
        <w:ind w:firstLine="480"/>
        <w:jc w:val="both"/>
        <w:rPr>
          <w:rFonts w:hint="eastAsia" w:cs="Times New Roman"/>
          <w:szCs w:val="22"/>
          <w:lang w:val="en-US" w:eastAsia="zh-CN"/>
        </w:rPr>
      </w:pPr>
      <w:r>
        <w:rPr>
          <w:rFonts w:hint="eastAsia" w:cs="Times New Roman"/>
          <w:szCs w:val="22"/>
          <w:lang w:val="en-US" w:eastAsia="zh-CN"/>
        </w:rPr>
        <w:t>合作模式的特色通常被看作不同学科之间的差异。同时，在孵化一些交叉学科的现代科学研究也出现了不同学科合作的明显特色。基于1999年～2013年的多学科杂志</w:t>
      </w:r>
      <w:r>
        <w:rPr>
          <w:rFonts w:hint="eastAsia" w:ascii="Times New Roman" w:hAnsi="Times New Roman" w:cs="Times New Roman"/>
          <w:szCs w:val="22"/>
          <w:lang w:val="en-US" w:eastAsia="zh-CN"/>
        </w:rPr>
        <w:t>PNAS</w:t>
      </w:r>
      <w:r>
        <w:rPr>
          <w:rFonts w:hint="eastAsia" w:cs="Times New Roman"/>
          <w:szCs w:val="22"/>
          <w:lang w:val="en-US" w:eastAsia="zh-CN"/>
        </w:rPr>
        <w:t>发表的52803篇论文数据分析了在生物、物理和社会科学间的合作特色。从这些数据中，我们发现合作模式的传递性和同配性与那些作者合作者和作者论文的相同分布一样，都满足广义泊松分布和幂律分布的混合。而且，我们发现有相当一部分作者从事交叉学科研究，而不仅仅是具有许多合作者或具有很多论文的作者。这个事实提供了一个了解多学科和交叉学科合作模式方面的一个途径。</w:t>
      </w:r>
    </w:p>
    <w:p>
      <w:pPr>
        <w:spacing w:before="48"/>
        <w:ind w:firstLine="0" w:firstLineChars="0"/>
        <w:rPr>
          <w:rFonts w:hint="default" w:ascii="Times New Roman" w:hAnsi="Times New Roman" w:eastAsia="宋体" w:cs="宋体"/>
          <w:b/>
          <w:bCs/>
          <w:sz w:val="32"/>
          <w:szCs w:val="32"/>
          <w:lang w:val="en-US" w:eastAsia="zh-Hans"/>
        </w:rPr>
      </w:pPr>
      <w:r>
        <w:rPr>
          <w:rFonts w:hint="eastAsia" w:asciiTheme="minorEastAsia" w:hAnsiTheme="minorEastAsia" w:eastAsiaTheme="minorEastAsia"/>
          <w:b/>
          <w:bCs/>
          <w:sz w:val="28"/>
          <w:szCs w:val="28"/>
        </w:rPr>
        <w:t>关键词：</w:t>
      </w:r>
      <w:r>
        <w:rPr>
          <w:rFonts w:hint="eastAsia" w:eastAsiaTheme="minorEastAsia"/>
          <w:lang w:val="en-US" w:eastAsia="zh-Hans"/>
        </w:rPr>
        <w:t>合作模式；交叉学科；超图；复杂网络</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numPr>
          <w:ilvl w:val="0"/>
          <w:numId w:val="1"/>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介绍</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sz w:val="24"/>
          <w:szCs w:val="24"/>
          <w:lang w:val="en-US" w:eastAsia="zh-Hans"/>
        </w:rPr>
        <w:t>自然和社会科学提供了很多方法分别去学习</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预测和解释自然现象和社会</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人类行为和精神状况</w:t>
      </w:r>
      <w:r>
        <w:rPr>
          <w:rFonts w:hint="eastAsia" w:ascii="宋体" w:hAnsi="宋体" w:eastAsia="宋体" w:cs="宋体"/>
          <w:sz w:val="24"/>
          <w:szCs w:val="24"/>
          <w:lang w:eastAsia="zh-Hans"/>
        </w:rPr>
        <w:t>)</w:t>
      </w:r>
      <w:r>
        <w:rPr>
          <w:rStyle w:val="8"/>
          <w:rFonts w:hint="eastAsia" w:ascii="宋体" w:hAnsi="宋体" w:eastAsia="宋体" w:cs="宋体"/>
          <w:sz w:val="24"/>
          <w:szCs w:val="24"/>
          <w:lang w:eastAsia="zh-Hans"/>
        </w:rPr>
        <w:endnoteReference w:id="0"/>
      </w:r>
      <w:r>
        <w:rPr>
          <w:rFonts w:hint="eastAsia" w:ascii="宋体" w:hAnsi="宋体" w:eastAsia="宋体" w:cs="宋体"/>
          <w:sz w:val="24"/>
          <w:szCs w:val="24"/>
          <w:lang w:eastAsia="zh-Hans"/>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专业化的科学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知识形成了各种学科。同时，为了解决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那些</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解决方案超出单个学科范围的问题，研究人员需要整合多个学科的数据、技术、概念和理论</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。学科之间的相互作用孕育了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很多的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跨学科，模糊了自然科学和社会科学的边界，并产生了许多重要的科学突破</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6"/>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研究跨学科或学科间的合作模式有助于理解合作行为和知识融合方式的多样性。因为自然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和社会科学主要依靠论文</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多学科期刊的论文为这项研究提供了信息和可靠的平台</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8"/>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9"/>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0"/>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1"/>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这里我们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调查了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1999-2013年发表在《美国国家科学院院刊》（</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）上的52803篇论文。数据集的内容涵盖三个科学类别：社会科学和自然科学中的两个主要子科学，即生物科学和物理科学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合作关系可以被表示为合作网络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。因此可以从网络的角度来研究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模式。来自不同科学领域的合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网络出现了特定的相似性，例如合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者的部分传递性、合作者数量的同质性</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每个作者的合作者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分布</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的右偏分布</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2"/>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3"/>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4"/>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5"/>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6"/>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7"/>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。这些共性也出现在三个作者的合作网络中（分别来自</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的三个科学类别）。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深入了解这些共性的规律和原因。我们发现每个作者的合作者分布和每个作者的论文分布遵循相同的分布类型：广义泊松分布和幂律的混合。我们通过作者吸引合作的能力的多样</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为分布类型和这些共性提供了可能的解释。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之前的一系列工作讨论了科学</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9"/>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0"/>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2"/>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3"/>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4"/>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、大学</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、期刊</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7"/>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和研究团队</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的跨学科定量指标。一些工作探讨了跨学科性和科学影响之间的相关性</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0"/>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1"/>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2"/>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（例如，引文捕获能力</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4"/>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5"/>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）。基于这些参考文献的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特定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总体思路，我们通过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学科的论文共现，以及基于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复现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的一些指标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多样性</w:t>
      </w:r>
      <w:r>
        <w:rPr>
          <w:rStyle w:val="8"/>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37"/>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和介数中心性</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8"/>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的交叉学科活动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我们进一步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通过多学科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研究了跨学科的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模式，并发现相当一部分物理和社会科学的作者和论文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参与了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数据中提取的多学科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合作者关系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分别包含了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超过88%</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生物、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80%</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物理和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71%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社会科学的作者。相当多的作者对巨大成分的形成做出了贡献。作者活动和生产力对</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的贡献随着时间的推移而增加。案例研究所显示的高度跨学科性可能不能代表一般的合作模式，因为作者可以向多学科期刊提交比特定领域期刊更多的跨学科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的结构如下：在第2节中描述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数据处理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第3节分析了相似性和相互作用；并在第4节中得出结论。</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21"/>
          <w:szCs w:val="21"/>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数据集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 xml:space="preserve">2.1 </w:t>
      </w:r>
      <w:r>
        <w:rPr>
          <w:rFonts w:hint="eastAsia" w:ascii="黑体" w:hAnsi="黑体" w:eastAsia="黑体" w:cs="黑体"/>
          <w:b/>
          <w:bCs/>
          <w:sz w:val="32"/>
          <w:szCs w:val="32"/>
          <w:lang w:val="en-US" w:eastAsia="zh-Hans"/>
        </w:rPr>
        <w:t>使用该数据集的原因</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案例研究涉及两个概念，即多学科性（来自不同学科的研究人员在其学科内进行研究）和跨学科性（超越学科界限的研究）</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。多学科可以被看作是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多学科交叉地出现在其中的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学科的结合。一本涵盖自然科学和社会科学的多学科期刊可以用来分析科学类别之间的相互作用。这本期刊也可以用来比较多学科的合作模式并找到相似之处。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高质量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研究论文，并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且</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提供这些论文的可靠</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学科信息。该期刊还为分析全球合作模式提供了一个高质量的数据平台，因为其近一半的论文来自美国以外的作者</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包括</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SCIENCE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Communications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不提供论文的学科信息。《英国皇家学会学报》专注于物理科学和生命科学之间的交叉学科研究，但不涉及社会科学。我们的分析仅限于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，这给我们的发现带来了局限性。例如，社会科学媒体不仅依赖论文，还依赖书籍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xixii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。因此，所获得的结果必须仔细解释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在所选期刊上发表论文的研究人员的模式。然而，由于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的影响力和代表性，案例研究可能有助于理解多学科和跨学科合作模式的各个方面。</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2</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学科信息</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集的大多数论文被分为三个一级学科（生物、物理和社会科学）和39个二级学科（表1）。跨学科论文被分为几个学科。数据包含43304篇生物学论文（包括3957篇生物物理学论文），占总数的82.01%。该数据还包含5987篇物理论文和1310篇社会论文。二级学科以上的跨学科论文2961篇，占总数的5.61%</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交叉学科的重要差异并不意味更特别受到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的偏好</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194300" cy="3492500"/>
            <wp:effectExtent l="0" t="0" r="12700" b="12700"/>
            <wp:docPr id="1" name="图片 1" descr="截屏2023-05-16 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5-16 17.20.23"/>
                    <pic:cNvPicPr>
                      <a:picLocks noChangeAspect="1"/>
                    </pic:cNvPicPr>
                  </pic:nvPicPr>
                  <pic:blipFill>
                    <a:blip r:embed="rId13"/>
                    <a:stretch>
                      <a:fillRect/>
                    </a:stretch>
                  </pic:blipFill>
                  <pic:spPr>
                    <a:xfrm>
                      <a:off x="0" y="0"/>
                      <a:ext cx="5194300" cy="34925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一级学科和二级学科的关系</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这个网络基于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年的多学科论文的信息构建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如果两个学科是同一篇论文的一级学科和二级学科它们就会相连</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节点大小代表了节点的度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事实上，参与自然科学（尤其是生物科学）的研究人员数量远远超过参与社会科学的研究人员</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。仅有1842篇论文被归类为一级学科。对于这些论文，它们的二级学科被认为是缺失的，但在我们以前的工作中，它们被认为与一级学科相同</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。因此表1中的数据与参考文献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中的数据不同。</w:t>
      </w:r>
      <w:r>
        <w:rPr>
          <w:rFonts w:hint="eastAsia" w:ascii="宋体" w:hAnsi="宋体" w:eastAsia="宋体" w:cs="宋体"/>
          <w:b w:val="0"/>
          <w:bCs w:val="0"/>
          <w:i w:val="0"/>
          <w:iCs w:val="0"/>
          <w:caps w:val="0"/>
          <w:color w:val="000000"/>
          <w:spacing w:val="20"/>
          <w:kern w:val="0"/>
          <w:sz w:val="24"/>
          <w:szCs w:val="24"/>
          <w:shd w:val="clear" w:fill="FFFFFF"/>
          <w:lang w:eastAsia="zh-CN" w:bidi="ar"/>
        </w:rPr>
        <w:tab/>
      </w:r>
      <w:r>
        <w:rPr>
          <w:rFonts w:hint="eastAsia" w:ascii="宋体" w:hAnsi="宋体" w:eastAsia="宋体" w:cs="宋体"/>
          <w:b w:val="0"/>
          <w:bCs w:val="0"/>
          <w:i w:val="0"/>
          <w:iCs w:val="0"/>
          <w:caps w:val="0"/>
          <w:color w:val="000000"/>
          <w:spacing w:val="20"/>
          <w:kern w:val="0"/>
          <w:sz w:val="24"/>
          <w:szCs w:val="24"/>
          <w:shd w:val="clear" w:fill="FFFFFF"/>
          <w:lang w:eastAsia="zh-CN" w:bidi="ar"/>
        </w:rPr>
        <w:tab/>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基于论文的学科信息，我们构建了一个网络来表达一级学科和二级学科之间的关系（图1），其中如果两个学科是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论文的一级学科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二级学科，它们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之间相互连接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还可以构建一个网络来表达二级学科之间的相互作用（图2），其中每个节点都是一个学科，如果有一篇论文同时属于它们，则两个节点是连接的。这些网络可能会随着新发表论文的形成而发展。因此，使用最新数据，人们可能会有一个更全面的观点。</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val="en-US" w:eastAsia="zh-Hans" w:bidi="ar"/>
        </w:rPr>
      </w:pPr>
      <w:r>
        <w:rPr>
          <w:rFonts w:hint="eastAsia" w:ascii="黑体" w:hAnsi="黑体" w:eastAsia="黑体" w:cs="黑体"/>
          <w:b/>
          <w:bCs/>
          <w:i w:val="0"/>
          <w:iCs w:val="0"/>
          <w:caps w:val="0"/>
          <w:color w:val="000000"/>
          <w:spacing w:val="20"/>
          <w:kern w:val="0"/>
          <w:sz w:val="32"/>
          <w:szCs w:val="32"/>
          <w:shd w:val="clear" w:fill="FFFFFF"/>
          <w:lang w:val="en-US" w:eastAsia="zh-CN" w:bidi="ar"/>
        </w:rPr>
        <w:t>2.3合</w:t>
      </w:r>
      <w:r>
        <w:rPr>
          <w:rFonts w:hint="eastAsia" w:ascii="黑体" w:hAnsi="黑体" w:eastAsia="黑体" w:cs="黑体"/>
          <w:b/>
          <w:bCs/>
          <w:i w:val="0"/>
          <w:iCs w:val="0"/>
          <w:caps w:val="0"/>
          <w:color w:val="000000"/>
          <w:spacing w:val="20"/>
          <w:kern w:val="0"/>
          <w:sz w:val="32"/>
          <w:szCs w:val="32"/>
          <w:shd w:val="clear" w:fill="FFFFFF"/>
          <w:lang w:val="en-US" w:eastAsia="zh-Hans" w:bidi="ar"/>
        </w:rPr>
        <w:t>作</w:t>
      </w:r>
      <w:r>
        <w:rPr>
          <w:rFonts w:hint="eastAsia" w:ascii="黑体" w:hAnsi="黑体" w:eastAsia="黑体" w:cs="黑体"/>
          <w:b/>
          <w:bCs/>
          <w:i w:val="0"/>
          <w:iCs w:val="0"/>
          <w:caps w:val="0"/>
          <w:color w:val="000000"/>
          <w:spacing w:val="20"/>
          <w:kern w:val="0"/>
          <w:sz w:val="32"/>
          <w:szCs w:val="32"/>
          <w:shd w:val="clear" w:fill="FFFFFF"/>
          <w:lang w:val="en-US" w:eastAsia="zh-CN" w:bidi="ar"/>
        </w:rPr>
        <w:t>者</w:t>
      </w:r>
      <w:r>
        <w:rPr>
          <w:rFonts w:hint="eastAsia" w:ascii="黑体" w:hAnsi="黑体" w:eastAsia="黑体" w:cs="黑体"/>
          <w:b/>
          <w:bCs/>
          <w:i w:val="0"/>
          <w:iCs w:val="0"/>
          <w:caps w:val="0"/>
          <w:color w:val="000000"/>
          <w:spacing w:val="20"/>
          <w:kern w:val="0"/>
          <w:sz w:val="32"/>
          <w:szCs w:val="32"/>
          <w:shd w:val="clear" w:fill="FFFFFF"/>
          <w:lang w:val="en-US" w:eastAsia="zh-Hans" w:bidi="ar"/>
        </w:rPr>
        <w:t>网络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真实的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作者，即消除作者姓名的歧义，是一个重要、耗时但必要的合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作网络分析</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4889500" cy="2971800"/>
            <wp:effectExtent l="0" t="0" r="12700" b="0"/>
            <wp:docPr id="2" name="图片 2" descr="截屏2023-05-16 1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5-16 17.30.52"/>
                    <pic:cNvPicPr>
                      <a:picLocks noChangeAspect="1"/>
                    </pic:cNvPicPr>
                  </pic:nvPicPr>
                  <pic:blipFill>
                    <a:blip r:embed="rId14"/>
                    <a:stretch>
                      <a:fillRect/>
                    </a:stretch>
                  </pic:blipFill>
                  <pic:spPr>
                    <a:xfrm>
                      <a:off x="0" y="0"/>
                      <a:ext cx="4889500" cy="29718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二级学科间的交互作用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带有权重的网络基于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年交叉学科的论文信息构建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边的宽度表示了边的权重</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在两个连接的学科间的交叉学科论文数量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有几种方法使用论文中提供的名称信息（例如，基于初始值的方法</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）。基于初始值的方法的主要错误识别是由两个或多个不同的作者合并为一个引起的。因此，它减少了唯一作者的数量，并扩大了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巨大组成成分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获得更多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的信息（如电子邮件地址）有助于减少合并错误，但也带来了收集信息的困难。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1999-2013中，93.1%的作者提供了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全部的姓氏</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。因此，论文上提供的名字被直接用来识别作者。然而，使用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姓</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和第一个给定名称的首字母将产生许多名称消歧的合并错误</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。这些作者在数据中的比例为2.9%，</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这部分作者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以发表一篇以上论文为条件的比例为0.3%。同时，如果一些作者提供了完全相同的名字，即使使用全名也会产生合并错误。中文名字被发现是名字重复的原因</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。我们计算了在100个主要中文姓氏中，名字小于6个字符和姓氏的比例。这些作者在数据中的比例为2.7%，而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在这些作者中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以发表一篇以上论文为条件的比例为1.1%。这四个比例的值表明，名字重复的影响是有限的。表2中列出了特定子数据的这些比例。</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如果作者没有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自己的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名字，这里采用的方法将把一位作者分成两位或两位以上。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这样会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大小，这些指数被用作跨学科研究普遍性的证据。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eastAsia="zh-Hans" w:bidi="ar"/>
        </w:rPr>
        <w:t>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5、3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小节的结论是有争议的</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在</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年二级学科的特定标签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5273675" cy="6272530"/>
            <wp:effectExtent l="0" t="0" r="9525" b="1270"/>
            <wp:docPr id="3" name="图片 3" descr="截屏2023-05-16 17.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5-16 17.42.30"/>
                    <pic:cNvPicPr>
                      <a:picLocks noChangeAspect="1"/>
                    </pic:cNvPicPr>
                  </pic:nvPicPr>
                  <pic:blipFill>
                    <a:blip r:embed="rId15"/>
                    <a:stretch>
                      <a:fillRect/>
                    </a:stretch>
                  </pic:blipFill>
                  <pic:spPr>
                    <a:xfrm>
                      <a:off x="0" y="0"/>
                      <a:ext cx="5273675" cy="62725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表中</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n</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为论文的数量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m</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为交叉学科的数量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1</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为度的权重</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为在图</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的带权重的网络中计算的介数中心性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vertAlign w:val="baseline"/>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此外，所采用的方法造成的不准确并没有改变每个作者合作者的基本事实分布类型和每个作者的论文分布类型</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3606800" cy="1270000"/>
            <wp:effectExtent l="0" t="0" r="0" b="0"/>
            <wp:docPr id="5" name="图片 5" descr="截屏2023-05-16 17.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5-16 17.47.07"/>
                    <pic:cNvPicPr>
                      <a:picLocks noChangeAspect="1"/>
                    </pic:cNvPicPr>
                  </pic:nvPicPr>
                  <pic:blipFill>
                    <a:blip r:embed="rId16"/>
                    <a:stretch>
                      <a:fillRect/>
                    </a:stretch>
                  </pic:blipFill>
                  <pic:spPr>
                    <a:xfrm>
                      <a:off x="0" y="0"/>
                      <a:ext cx="3606800" cy="12700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sz w:val="21"/>
          <w:szCs w:val="21"/>
          <w:lang w:val="en-US" w:eastAsia="zh-Hans"/>
        </w:rPr>
        <w:t>标签</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分别表示了提供首字母和姓氏的比例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标签</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分别表示了作者姓氏在</w:t>
      </w:r>
      <w:r>
        <w:rPr>
          <w:rFonts w:hint="eastAsia" w:ascii="宋体" w:hAnsi="宋体" w:eastAsia="宋体" w:cs="宋体"/>
          <w:b w:val="0"/>
          <w:bCs w:val="0"/>
          <w:i w:val="0"/>
          <w:iCs w:val="0"/>
          <w:caps w:val="0"/>
          <w:color w:val="000000"/>
          <w:spacing w:val="20"/>
          <w:kern w:val="0"/>
          <w:sz w:val="21"/>
          <w:szCs w:val="21"/>
          <w:shd w:val="clear" w:fill="FFFFFF"/>
          <w:lang w:eastAsia="zh-Hans" w:bidi="ar"/>
        </w:rPr>
        <w:t>100</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个主要的中国姓氏并且小于</w:t>
      </w:r>
      <w:r>
        <w:rPr>
          <w:rFonts w:hint="eastAsia" w:ascii="宋体" w:hAnsi="宋体" w:eastAsia="宋体" w:cs="宋体"/>
          <w:b w:val="0"/>
          <w:bCs w:val="0"/>
          <w:i w:val="0"/>
          <w:iCs w:val="0"/>
          <w:caps w:val="0"/>
          <w:color w:val="000000"/>
          <w:spacing w:val="20"/>
          <w:kern w:val="0"/>
          <w:sz w:val="21"/>
          <w:szCs w:val="21"/>
          <w:shd w:val="clear" w:fill="FFFFFF"/>
          <w:lang w:eastAsia="zh-Hans" w:bidi="ar"/>
        </w:rPr>
        <w:t>6</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个字符的比例</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eastAsia="zh-Hans" w:bidi="ar"/>
        </w:rPr>
      </w:pPr>
      <w:r>
        <w:rPr>
          <w:rFonts w:hint="eastAsia" w:ascii="黑体" w:hAnsi="黑体" w:eastAsia="黑体" w:cs="黑体"/>
          <w:b/>
          <w:bCs/>
          <w:i w:val="0"/>
          <w:iCs w:val="0"/>
          <w:caps w:val="0"/>
          <w:color w:val="000000"/>
          <w:spacing w:val="20"/>
          <w:kern w:val="0"/>
          <w:sz w:val="32"/>
          <w:szCs w:val="32"/>
          <w:shd w:val="clear" w:fill="FFFFFF"/>
          <w:lang w:eastAsia="zh-Hans" w:bidi="ar"/>
        </w:rPr>
        <w:t xml:space="preserve">3 </w:t>
      </w:r>
      <w:r>
        <w:rPr>
          <w:rFonts w:hint="eastAsia" w:ascii="黑体" w:hAnsi="黑体" w:eastAsia="黑体" w:cs="黑体"/>
          <w:b/>
          <w:bCs/>
          <w:i w:val="0"/>
          <w:iCs w:val="0"/>
          <w:caps w:val="0"/>
          <w:color w:val="000000"/>
          <w:spacing w:val="20"/>
          <w:kern w:val="0"/>
          <w:sz w:val="32"/>
          <w:szCs w:val="32"/>
          <w:shd w:val="clear" w:fill="FFFFFF"/>
          <w:lang w:val="en-US" w:eastAsia="zh-Hans" w:bidi="ar"/>
        </w:rPr>
        <w:t>数据分析</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1 </w:t>
      </w:r>
      <w:r>
        <w:rPr>
          <w:rFonts w:hint="eastAsia" w:ascii="黑体" w:hAnsi="黑体" w:eastAsia="黑体" w:cs="黑体"/>
          <w:b/>
          <w:bCs/>
          <w:sz w:val="32"/>
          <w:szCs w:val="32"/>
          <w:lang w:val="en-US" w:eastAsia="zh-Hans"/>
        </w:rPr>
        <w:t>网络性质</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是一种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元关系，</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Z</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+，因此它可以用超图来表示，超图是图的推广，其中一条边（称为超边）可以连接任意数量的节点。将作者表示为节点，将每篇论文的作者组（论文团队）表示为超边。然后，我们可以从超图中提取一个合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网络作为一个简单图，其中在每个超边的每两个节点之间形成边，并且将多个边作为一个边处理。节点的“度”和“超度”分别用来表示合作者的数量和作者的论文数量。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数据显示，生物科学（6.624）和物理科学（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5</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254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）的平均论文团队规模大于社会科学的平均团队规模（4.634）。这种规模关系符合研究团队规模为通常在自然科学中较大，在社会科学中较</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。现在让我们考虑特定学科或科学类别中被考虑的论文的合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网络。所有这些网络都是高度集群的</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具有度相似性的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，其平均最短路径长度以节点数的对数表示（表3中的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logNN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AP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不意味着所有的网络都是小世界。社会科学网络是个例外，它甚至没有超过10%的作者。然而，这并不意味着社会科学的研究是孤立进行的。事实上，71.5%的社会科学作者属于由整个数据生成的作者网络的巨大组成部分。因此，分析作者在单个学科中的合作是有局限性的。因此，我们在所有学科的环境中进行分析。</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sz w:val="21"/>
          <w:szCs w:val="21"/>
          <w:lang w:val="en-US" w:eastAsia="zh-Hans"/>
        </w:rPr>
      </w:pPr>
      <w:r>
        <w:rPr>
          <w:rFonts w:hint="eastAsia" w:ascii="宋体" w:hAnsi="宋体" w:eastAsia="宋体" w:cs="宋体"/>
          <w:b/>
          <w:bCs/>
          <w:sz w:val="21"/>
          <w:szCs w:val="21"/>
          <w:lang w:val="en-US" w:eastAsia="zh-Hans"/>
        </w:rPr>
        <w:t>表</w:t>
      </w:r>
      <w:r>
        <w:rPr>
          <w:rFonts w:hint="eastAsia" w:ascii="宋体" w:hAnsi="宋体" w:eastAsia="宋体" w:cs="宋体"/>
          <w:b/>
          <w:bCs/>
          <w:sz w:val="21"/>
          <w:szCs w:val="21"/>
          <w:lang w:eastAsia="zh-Hans"/>
        </w:rPr>
        <w:t xml:space="preserve">3 </w:t>
      </w:r>
      <w:r>
        <w:rPr>
          <w:rFonts w:hint="eastAsia" w:ascii="宋体" w:hAnsi="宋体" w:eastAsia="宋体" w:cs="宋体"/>
          <w:b/>
          <w:bCs/>
          <w:sz w:val="21"/>
          <w:szCs w:val="21"/>
          <w:lang w:val="en-US" w:eastAsia="zh-Hans"/>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054600" cy="1257300"/>
            <wp:effectExtent l="0" t="0" r="0" b="12700"/>
            <wp:docPr id="6" name="图片 6" descr="截屏2023-05-16 17.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5-16 17.57.32"/>
                    <pic:cNvPicPr>
                      <a:picLocks noChangeAspect="1"/>
                    </pic:cNvPicPr>
                  </pic:nvPicPr>
                  <pic:blipFill>
                    <a:blip r:embed="rId17"/>
                    <a:stretch>
                      <a:fillRect/>
                    </a:stretch>
                  </pic:blipFill>
                  <pic:spPr>
                    <a:xfrm>
                      <a:off x="0" y="0"/>
                      <a:ext cx="5054600" cy="12573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标签分别为节点的数量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NE</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全局聚类系数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GCC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度相似性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平均最短路径</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AP</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巨大组成部分的节点比例</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PG</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前两个网络的平均最短路径大约计算了</w:t>
      </w:r>
      <w:r>
        <w:rPr>
          <w:rFonts w:hint="eastAsia" w:ascii="宋体" w:hAnsi="宋体" w:eastAsia="宋体" w:cs="宋体"/>
          <w:sz w:val="21"/>
          <w:szCs w:val="21"/>
          <w:lang w:eastAsia="zh-Hans"/>
        </w:rPr>
        <w:t>400,000</w:t>
      </w:r>
      <w:r>
        <w:rPr>
          <w:rFonts w:hint="eastAsia" w:ascii="宋体" w:hAnsi="宋体" w:eastAsia="宋体" w:cs="宋体"/>
          <w:sz w:val="21"/>
          <w:szCs w:val="21"/>
          <w:lang w:val="en-US" w:eastAsia="zh-Hans"/>
        </w:rPr>
        <w:t>对节点的样本</w:t>
      </w:r>
      <w:r>
        <w:rPr>
          <w:rFonts w:hint="eastAsia" w:ascii="宋体" w:hAnsi="宋体" w:eastAsia="宋体" w:cs="宋体"/>
          <w:sz w:val="21"/>
          <w:szCs w:val="21"/>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sz w:val="24"/>
          <w:szCs w:val="24"/>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度和超度</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在数据上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统计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度和超度（不限于单个科学类别），并观察三个作者集（分别来自三个科学类别）的度分布和超度分布。我们发现尽管</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作级别因科学类别而异，但所有分布都出现了钩头、肥尾和它们之间的交叉，这可以被视为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作网络的一个共同特征（图3）。头部和尾部可以分别通过对数正态分布和幂律分布来拟合</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这些分布也可以作为一个整体，通过广义泊松分布和幂定律分布的混合来拟合。拟合参数如表4所示。我们进行了两个样本的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Kolmogorov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Smirnov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）检验，以比较两个数据向量的分布：节点索引（即度，超度），从相应的拟合分布中提取的样本。零假设是两个数据向量来自相同的分布。每个拟合的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值表明，在5%的显著性水平上，检验不能拒绝零假设。注意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由于大量作者数量较少，</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2拟合度检验在这里不适用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把作者当作样本</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混合分布意味着这些样本来自不同的群体，即合作者和论文较少的作者的合作模式与合作者和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较多的作者的合作模式不同。在参考文献</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中，对出现的混合型经验度分布给出了一种可能的解释（不含学科）。对于相同的一般思想，可以对超度分布采用类似的解释，如下所示。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研究人员是否合作发表论文可以被视为“是/否”的决定。因此，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者的超度等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于希望与该研究人员合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的候选人在一系列决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中成功的次数。假设这些候选人的人数是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。假设每个候选人的合作概率为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。那么超度数将遵循二项式分布</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B</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并且泊松分布将满足</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的期望值</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由于作者吸引合作者的能力的多样性，不同作者的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期望值</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各不相同。</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865" cy="3432175"/>
            <wp:effectExtent l="0" t="0" r="13335" b="22225"/>
            <wp:docPr id="8" name="图片 8" descr="截屏2023-05-16 18.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5-16 18.57.11"/>
                    <pic:cNvPicPr>
                      <a:picLocks noChangeAspect="1"/>
                    </pic:cNvPicPr>
                  </pic:nvPicPr>
                  <pic:blipFill>
                    <a:blip r:embed="rId18"/>
                    <a:stretch>
                      <a:fillRect/>
                    </a:stretch>
                  </pic:blipFill>
                  <pic:spPr>
                    <a:xfrm>
                      <a:off x="0" y="0"/>
                      <a:ext cx="5269865" cy="343217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3 </w:t>
      </w:r>
      <w:r>
        <w:rPr>
          <w:rFonts w:hint="eastAsia" w:ascii="宋体" w:hAnsi="宋体" w:eastAsia="宋体" w:cs="宋体"/>
          <w:b/>
          <w:bCs/>
          <w:i w:val="0"/>
          <w:iCs w:val="0"/>
          <w:caps w:val="0"/>
          <w:color w:val="000000"/>
          <w:spacing w:val="20"/>
          <w:kern w:val="0"/>
          <w:sz w:val="21"/>
          <w:szCs w:val="21"/>
          <w:shd w:val="clear" w:fill="FFFFFF"/>
          <w:lang w:val="en-US" w:eastAsia="zh-Hans" w:bidi="ar"/>
        </w:rPr>
        <w:t>每个作者的合作者</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论文分布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页面展示了</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红色部分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和每个学科分类的论文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蓝色部分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拟合分布是广义泊松分布和幂律分布的混合</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拟合参数在表</w:t>
      </w:r>
      <w:r>
        <w:rPr>
          <w:rFonts w:hint="eastAsia" w:ascii="宋体" w:hAnsi="宋体" w:eastAsia="宋体" w:cs="宋体"/>
          <w:b w:val="0"/>
          <w:bCs w:val="0"/>
          <w:i w:val="0"/>
          <w:iCs w:val="0"/>
          <w:caps w:val="0"/>
          <w:color w:val="000000"/>
          <w:spacing w:val="20"/>
          <w:kern w:val="0"/>
          <w:sz w:val="21"/>
          <w:szCs w:val="21"/>
          <w:shd w:val="clear" w:fill="FFFFFF"/>
          <w:lang w:eastAsia="zh-Hans" w:bidi="ar"/>
        </w:rPr>
        <w:t>4“</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G</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O</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”分布表示了广义泊松分布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混合和幂律分布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作者的决定可能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有依赖性。例如，与有出版经验的研究人员合作有助于发表论文。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可以将超度视为遵循广义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泊松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分布的随机变量（允许事件的发生概率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记忆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Style w:val="8"/>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4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经验数据中，大多数超度都围绕着它们的模式。因此，我们可以认为它们遵循一些广义泊松分布，在它们的模式周围有一个期望值，因此形成了超度分布的广义泊松部分。一些作者经历了一个复杂的论文过程，这使得超度分布向右倾斜并形成一个</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肥尾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3 </w:t>
      </w:r>
      <w:r>
        <w:rPr>
          <w:rFonts w:hint="eastAsia" w:ascii="黑体" w:hAnsi="黑体" w:eastAsia="黑体" w:cs="黑体"/>
          <w:b/>
          <w:bCs/>
          <w:sz w:val="32"/>
          <w:szCs w:val="32"/>
          <w:lang w:val="en-US" w:eastAsia="zh-Hans"/>
        </w:rPr>
        <w:t>合作网络的传递性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社会中的传递性是“我朋友的朋友也是我的朋友”，这是社会关系网络的典型特征。在学术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中，作者的合作者很可能彼此熟悉，因此也是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者。例如，</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组织和机构背景可能会导致</w:t>
      </w:r>
      <w:r>
        <w:rPr>
          <w:rFonts w:hint="eastAsia" w:ascii="宋体" w:hAnsi="宋体" w:eastAsia="宋体" w:cs="宋体"/>
          <w:b w:val="0"/>
          <w:bCs w:val="0"/>
          <w:i w:val="0"/>
          <w:iCs w:val="0"/>
          <w:caps w:val="0"/>
          <w:color w:val="000000"/>
          <w:spacing w:val="20"/>
          <w:kern w:val="0"/>
          <w:sz w:val="24"/>
          <w:szCs w:val="24"/>
          <w:shd w:val="clear" w:fill="FFFFFF"/>
          <w:lang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者关系的传递性</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从而有助于出现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作者网络的集群结构。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网络的传递性可以用图论中的两个指标来量化，即全局聚类系数（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在“三角形”中连成三元组的部分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）和局部聚类系数（节点的两个邻居连接的可能性）。高传递性是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网络的一个共同特征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但是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传递性在多大程度上是由于作者在学术社会中的活动造成的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？这种活动可以通过合作者的数量，即度来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部分地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反映。因此，可以通过度和局部聚类系数之间的相关系数来描绘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传递性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相关系数表示两个变量或它们的秩之间的线性关系的程度。除非</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对于每个期望条件的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给出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来表示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Y</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X</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中的线性或近似线性函数</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不然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变量</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的系数通常不能完全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描述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给定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度的局部聚类系数的条件期望值是用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节点的平均局部聚类系数。图4所示的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）的近似线性趋势保证了表5中相关性分析的有效性。减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少的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趋势不能从</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节点的局部聚类系数的分母随着其度的二次增长，但分子不能根据度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）均值活动的下降趋势是否会抑制传递性？肯定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的答案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是违背常识的。在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发表了一篇论文，99.9%的论文团队规模遵循广义泊松部分，即每个团队规模的平均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约为6.028。广义泊松部分的边界由参考文献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中概率密度函数的边界点检测算法检测（见附录）。</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因此大部分小度的作者的局部聚类系数接近于</w:t>
      </w:r>
      <w:r>
        <w:rPr>
          <w:rFonts w:hint="eastAsia" w:ascii="宋体" w:hAnsi="宋体" w:eastAsia="宋体" w:cs="宋体"/>
          <w:b w:val="0"/>
          <w:bCs w:val="0"/>
          <w:i w:val="0"/>
          <w:iCs w:val="0"/>
          <w:caps w:val="0"/>
          <w:color w:val="000000"/>
          <w:spacing w:val="20"/>
          <w:kern w:val="0"/>
          <w:sz w:val="24"/>
          <w:szCs w:val="24"/>
          <w:shd w:val="clear" w:fill="FFFFFF"/>
          <w:lang w:eastAsia="zh-Hans" w:bidi="ar"/>
        </w:rPr>
        <w:t>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一些作者经历了一段时间的合作，他们的</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。对于这些作者来说，他们在不同论文中的合作者无法合作，这降低了他们的局部聚类系数。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令人困惑的事情和常识并不矛盾，而是由于通过计算静态网络中的“三角形”来测量传递性这一动态性质的不足。</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宋体" w:hAnsi="宋体" w:eastAsia="宋体" w:cs="宋体"/>
          <w:b/>
          <w:bCs/>
          <w:i w:val="0"/>
          <w:iCs w:val="0"/>
          <w:caps w:val="0"/>
          <w:color w:val="000000"/>
          <w:spacing w:val="20"/>
          <w:kern w:val="0"/>
          <w:sz w:val="21"/>
          <w:szCs w:val="21"/>
          <w:shd w:val="clear" w:fill="FFFFFF"/>
          <w:lang w:val="en-US" w:eastAsia="zh-Hans" w:bidi="ar"/>
        </w:rPr>
        <w:t>度与传递性</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聚类系数指标的相关性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72405" cy="2699385"/>
            <wp:effectExtent l="0" t="0" r="10795" b="18415"/>
            <wp:docPr id="9" name="图片 9" descr="截屏2023-05-16 22.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5-16 22.57.09"/>
                    <pic:cNvPicPr>
                      <a:picLocks noChangeAspect="1"/>
                    </pic:cNvPicPr>
                  </pic:nvPicPr>
                  <pic:blipFill>
                    <a:blip r:embed="rId19"/>
                    <a:stretch>
                      <a:fillRect/>
                    </a:stretch>
                  </pic:blipFill>
                  <pic:spPr>
                    <a:xfrm>
                      <a:off x="0" y="0"/>
                      <a:ext cx="5272405" cy="269938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图中指标为局部聚类系数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合作者的局部传递性</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LTC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节点邻居的平均超度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HN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我们计算了这些作者的平均指标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这些指标和度的斯皮尔曼等级相关系数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SCC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对于两个较小的皮尔森积矩相关系数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我们计算了它们的标准差</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为了设计一个更合理的测量传递性的指标，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从最开始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的最初</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来考虑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的两个合作者（他们还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没有合作过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）在未来合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的概率。这个概率可以通过合作的动态超图</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时间信息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平均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概率测量全局传递性，其值在每个科学类别中都很低（表5）。注意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1999-2013中的计算是有限的，在其他期刊或其他时间段可能会发生</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变化</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。因此，这里传递性的值可能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被低估。度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作者的传递性概率（图4中的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TC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））的增加趋势意味着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有助于传递性。这符合常识：一个拥有许多合作者的研究人员很可能会介绍他的合作者进行合作。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4 </w:t>
      </w:r>
      <w:r>
        <w:rPr>
          <w:rFonts w:hint="eastAsia" w:ascii="黑体" w:hAnsi="黑体" w:eastAsia="黑体" w:cs="黑体"/>
          <w:b/>
          <w:bCs/>
          <w:sz w:val="32"/>
          <w:szCs w:val="32"/>
          <w:lang w:val="en-US" w:eastAsia="zh-Hans"/>
        </w:rPr>
        <w:t>合作关系的同质性</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合</w:t>
      </w:r>
      <w:r>
        <w:rPr>
          <w:rFonts w:hint="eastAsia" w:ascii="宋体" w:hAnsi="宋体" w:eastAsia="宋体" w:cs="宋体"/>
          <w:i w:val="0"/>
          <w:iCs w:val="0"/>
          <w:caps w:val="0"/>
          <w:color w:val="000000"/>
          <w:spacing w:val="20"/>
          <w:kern w:val="0"/>
          <w:sz w:val="24"/>
          <w:szCs w:val="24"/>
          <w:shd w:val="clear" w:fill="FFFFFF"/>
          <w:lang w:val="en-US" w:eastAsia="zh-Hans" w:bidi="ar"/>
        </w:rPr>
        <w:t>作</w:t>
      </w:r>
      <w:r>
        <w:rPr>
          <w:rFonts w:hint="eastAsia" w:ascii="宋体" w:hAnsi="宋体" w:eastAsia="宋体" w:cs="宋体"/>
          <w:i w:val="0"/>
          <w:iCs w:val="0"/>
          <w:caps w:val="0"/>
          <w:color w:val="000000"/>
          <w:spacing w:val="20"/>
          <w:kern w:val="0"/>
          <w:sz w:val="24"/>
          <w:szCs w:val="24"/>
          <w:shd w:val="clear" w:fill="FFFFFF"/>
          <w:lang w:val="en-US" w:eastAsia="zh-CN" w:bidi="ar"/>
        </w:rPr>
        <w:t>是基于</w:t>
      </w:r>
      <w:r>
        <w:rPr>
          <w:rFonts w:hint="eastAsia" w:ascii="宋体" w:hAnsi="宋体" w:eastAsia="宋体" w:cs="宋体"/>
          <w:i w:val="0"/>
          <w:iCs w:val="0"/>
          <w:caps w:val="0"/>
          <w:color w:val="000000"/>
          <w:spacing w:val="20"/>
          <w:kern w:val="0"/>
          <w:sz w:val="24"/>
          <w:szCs w:val="24"/>
          <w:shd w:val="clear" w:fill="FFFFFF"/>
          <w:lang w:val="en-US" w:eastAsia="zh-Hans" w:bidi="ar"/>
        </w:rPr>
        <w:t>特定</w:t>
      </w:r>
      <w:r>
        <w:rPr>
          <w:rFonts w:hint="eastAsia" w:ascii="宋体" w:hAnsi="宋体" w:eastAsia="宋体" w:cs="宋体"/>
          <w:i w:val="0"/>
          <w:iCs w:val="0"/>
          <w:caps w:val="0"/>
          <w:color w:val="000000"/>
          <w:spacing w:val="20"/>
          <w:kern w:val="0"/>
          <w:sz w:val="24"/>
          <w:szCs w:val="24"/>
          <w:shd w:val="clear" w:fill="FFFFFF"/>
          <w:lang w:val="en-US" w:eastAsia="zh-CN" w:bidi="ar"/>
        </w:rPr>
        <w:t>研究人员的共同特征，包括兴趣和地理</w:t>
      </w:r>
      <w:r>
        <w:rPr>
          <w:rFonts w:hint="eastAsia" w:ascii="宋体" w:hAnsi="宋体" w:eastAsia="宋体" w:cs="宋体"/>
          <w:i w:val="0"/>
          <w:iCs w:val="0"/>
          <w:caps w:val="0"/>
          <w:color w:val="000000"/>
          <w:spacing w:val="20"/>
          <w:kern w:val="0"/>
          <w:sz w:val="24"/>
          <w:szCs w:val="24"/>
          <w:shd w:val="clear" w:fill="FFFFFF"/>
          <w:lang w:val="en-US" w:eastAsia="zh-Hans" w:bidi="ar"/>
        </w:rPr>
        <w:t>位置</w:t>
      </w:r>
      <w:r>
        <w:rPr>
          <w:rFonts w:hint="eastAsia" w:ascii="宋体" w:hAnsi="宋体" w:eastAsia="宋体" w:cs="宋体"/>
          <w:i w:val="0"/>
          <w:iCs w:val="0"/>
          <w:caps w:val="0"/>
          <w:color w:val="000000"/>
          <w:spacing w:val="20"/>
          <w:kern w:val="0"/>
          <w:sz w:val="24"/>
          <w:szCs w:val="24"/>
          <w:shd w:val="clear" w:fill="FFFFFF"/>
          <w:lang w:val="en-US" w:eastAsia="zh-CN" w:bidi="ar"/>
        </w:rPr>
        <w:t>。同质性现象出现在许多社</w:t>
      </w:r>
      <w:r>
        <w:rPr>
          <w:rFonts w:hint="eastAsia" w:ascii="宋体" w:hAnsi="宋体" w:eastAsia="宋体" w:cs="宋体"/>
          <w:i w:val="0"/>
          <w:iCs w:val="0"/>
          <w:caps w:val="0"/>
          <w:color w:val="000000"/>
          <w:spacing w:val="20"/>
          <w:kern w:val="0"/>
          <w:sz w:val="24"/>
          <w:szCs w:val="24"/>
          <w:shd w:val="clear" w:fill="FFFFFF"/>
          <w:lang w:val="en-US" w:eastAsia="zh-Hans" w:bidi="ar"/>
        </w:rPr>
        <w:t>交</w:t>
      </w:r>
      <w:r>
        <w:rPr>
          <w:rFonts w:hint="eastAsia" w:ascii="宋体" w:hAnsi="宋体" w:eastAsia="宋体" w:cs="宋体"/>
          <w:i w:val="0"/>
          <w:iCs w:val="0"/>
          <w:caps w:val="0"/>
          <w:color w:val="000000"/>
          <w:spacing w:val="20"/>
          <w:kern w:val="0"/>
          <w:sz w:val="24"/>
          <w:szCs w:val="24"/>
          <w:shd w:val="clear" w:fill="FFFFFF"/>
          <w:lang w:val="en-US" w:eastAsia="zh-CN" w:bidi="ar"/>
        </w:rPr>
        <w:t>关系中，在网络科学中被称为</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混合</w:t>
      </w:r>
      <w:r>
        <w:rPr>
          <w:rFonts w:hint="eastAsia" w:ascii="Times New Roman" w:hAnsi="Times New Roman" w:eastAsia="宋体" w:cs="宋体"/>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i w:val="0"/>
          <w:iCs w:val="0"/>
          <w:caps w:val="0"/>
          <w:color w:val="000000"/>
          <w:spacing w:val="20"/>
          <w:kern w:val="0"/>
          <w:sz w:val="24"/>
          <w:szCs w:val="24"/>
          <w:shd w:val="clear" w:fill="FFFFFF"/>
          <w:lang w:val="en-US" w:eastAsia="zh-CN" w:bidi="ar"/>
        </w:rPr>
        <w:t>。</w:t>
      </w:r>
      <w:r>
        <w:rPr>
          <w:rFonts w:hint="eastAsia" w:ascii="宋体" w:hAnsi="宋体" w:eastAsia="宋体" w:cs="宋体"/>
          <w:i w:val="0"/>
          <w:iCs w:val="0"/>
          <w:caps w:val="0"/>
          <w:color w:val="000000"/>
          <w:spacing w:val="20"/>
          <w:kern w:val="0"/>
          <w:sz w:val="24"/>
          <w:szCs w:val="24"/>
          <w:shd w:val="clear" w:fill="FFFFFF"/>
          <w:lang w:val="en-US" w:eastAsia="zh-Hans" w:bidi="ar"/>
        </w:rPr>
        <w:t>每种学科的作者更倾向于与社会活动和生产力相似的合作者合作吗</w:t>
      </w:r>
      <w:r>
        <w:rPr>
          <w:rFonts w:hint="eastAsia" w:ascii="宋体" w:hAnsi="宋体" w:eastAsia="宋体" w:cs="宋体"/>
          <w:i w:val="0"/>
          <w:iCs w:val="0"/>
          <w:caps w:val="0"/>
          <w:color w:val="000000"/>
          <w:spacing w:val="20"/>
          <w:kern w:val="0"/>
          <w:sz w:val="24"/>
          <w:szCs w:val="24"/>
          <w:shd w:val="clear" w:fill="FFFFFF"/>
          <w:lang w:eastAsia="zh-Hans" w:bidi="ar"/>
        </w:rPr>
        <w:t>？</w:t>
      </w:r>
      <w:r>
        <w:rPr>
          <w:rFonts w:hint="eastAsia" w:ascii="宋体" w:hAnsi="宋体" w:eastAsia="宋体" w:cs="宋体"/>
          <w:i w:val="0"/>
          <w:iCs w:val="0"/>
          <w:caps w:val="0"/>
          <w:color w:val="000000"/>
          <w:spacing w:val="20"/>
          <w:kern w:val="0"/>
          <w:sz w:val="24"/>
          <w:szCs w:val="24"/>
          <w:shd w:val="clear" w:fill="FFFFFF"/>
          <w:lang w:val="en-US" w:eastAsia="zh-CN" w:bidi="ar"/>
        </w:rPr>
        <w:t>作者的社会活动和生产力可以分别用度和超度这两个指标来量化，然后通过作者的</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和作者邻居的平均</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这两个变量之间的相关系数来</w:t>
      </w:r>
      <w:r>
        <w:rPr>
          <w:rFonts w:hint="eastAsia" w:ascii="宋体" w:hAnsi="宋体" w:eastAsia="宋体" w:cs="宋体"/>
          <w:i w:val="0"/>
          <w:iCs w:val="0"/>
          <w:caps w:val="0"/>
          <w:color w:val="000000"/>
          <w:spacing w:val="20"/>
          <w:kern w:val="0"/>
          <w:sz w:val="24"/>
          <w:szCs w:val="24"/>
          <w:shd w:val="clear" w:fill="FFFFFF"/>
          <w:lang w:val="en-US" w:eastAsia="zh-Hans" w:bidi="ar"/>
        </w:rPr>
        <w:t>描述指标</w:t>
      </w:r>
      <w:r>
        <w:rPr>
          <w:rFonts w:hint="eastAsia" w:ascii="宋体" w:hAnsi="宋体" w:eastAsia="宋体" w:cs="宋体"/>
          <w:i w:val="0"/>
          <w:iCs w:val="0"/>
          <w:caps w:val="0"/>
          <w:color w:val="000000"/>
          <w:spacing w:val="20"/>
          <w:kern w:val="0"/>
          <w:sz w:val="24"/>
          <w:szCs w:val="24"/>
          <w:shd w:val="clear" w:fill="FFFFFF"/>
          <w:lang w:val="en-US" w:eastAsia="zh-CN" w:bidi="ar"/>
        </w:rPr>
        <w:t>的偏好。正相关意味着</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，负相关意味着</w:t>
      </w:r>
      <w:r>
        <w:rPr>
          <w:rFonts w:hint="eastAsia" w:ascii="宋体" w:hAnsi="宋体" w:eastAsia="宋体" w:cs="宋体"/>
          <w:i w:val="0"/>
          <w:iCs w:val="0"/>
          <w:caps w:val="0"/>
          <w:color w:val="000000"/>
          <w:spacing w:val="20"/>
          <w:kern w:val="0"/>
          <w:sz w:val="24"/>
          <w:szCs w:val="24"/>
          <w:shd w:val="clear" w:fill="FFFFFF"/>
          <w:lang w:val="en-US" w:eastAsia="zh-Hans" w:bidi="ar"/>
        </w:rPr>
        <w:t>不同质</w:t>
      </w:r>
      <w:r>
        <w:rPr>
          <w:rFonts w:hint="eastAsia" w:ascii="宋体" w:hAnsi="宋体" w:eastAsia="宋体" w:cs="宋体"/>
          <w:i w:val="0"/>
          <w:iCs w:val="0"/>
          <w:caps w:val="0"/>
          <w:color w:val="000000"/>
          <w:spacing w:val="20"/>
          <w:kern w:val="0"/>
          <w:sz w:val="24"/>
          <w:szCs w:val="24"/>
          <w:shd w:val="clear" w:fill="FFFFFF"/>
          <w:lang w:val="en-US" w:eastAsia="zh-CN" w:bidi="ar"/>
        </w:rPr>
        <w:t>，零</w:t>
      </w:r>
      <w:r>
        <w:rPr>
          <w:rFonts w:hint="eastAsia" w:ascii="宋体" w:hAnsi="宋体" w:eastAsia="宋体" w:cs="宋体"/>
          <w:i w:val="0"/>
          <w:iCs w:val="0"/>
          <w:caps w:val="0"/>
          <w:color w:val="000000"/>
          <w:spacing w:val="20"/>
          <w:kern w:val="0"/>
          <w:sz w:val="24"/>
          <w:szCs w:val="24"/>
          <w:shd w:val="clear" w:fill="FFFFFF"/>
          <w:lang w:val="en-US" w:eastAsia="zh-Hans" w:bidi="ar"/>
        </w:rPr>
        <w:t>则</w:t>
      </w:r>
      <w:r>
        <w:rPr>
          <w:rFonts w:hint="eastAsia" w:ascii="宋体" w:hAnsi="宋体" w:eastAsia="宋体" w:cs="宋体"/>
          <w:i w:val="0"/>
          <w:iCs w:val="0"/>
          <w:caps w:val="0"/>
          <w:color w:val="000000"/>
          <w:spacing w:val="20"/>
          <w:kern w:val="0"/>
          <w:sz w:val="24"/>
          <w:szCs w:val="24"/>
          <w:shd w:val="clear" w:fill="FFFFFF"/>
          <w:lang w:val="en-US" w:eastAsia="zh-CN" w:bidi="ar"/>
        </w:rPr>
        <w:t>无偏好。</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。这是否意味着善于交际的研究人员（与许多合作者）会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更倾向于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与其他善于交际的研究员合作，不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善于社交的合作呢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？在之前的一项研究</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中，我们发现排名前5.99%的大多数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作者（根据</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衡量）与另一位此类作者合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的比例为99.5%。这一比例甚至可能被低估，因为这些作者可能在1999年之前或其他情况下合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名称消歧方法的拆分和合并错误在一定程度上影响了比例。即便如此，这一比例仍然很高。</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然而，如果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研究人员只与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，那么就会有许多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违背了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经验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分布。现在让我们分析作者的社会活动对度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性的影响。对于具有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）表示其邻居的平均度。每个经验数据集的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）都存在趋势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变化：头部有明显的增加趋势，而尾部则没有（图4）。这意味着</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主要由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小度的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作者控制。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趋势的临界点由参考文献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（附录中列出）中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常用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函数的边界点检测算法检测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。该算法的输入是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log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w:t>
      </w:r>
      <w:r>
        <w:rPr>
          <w:rFonts w:hint="eastAsia" w:ascii="宋体" w:hAnsi="宋体" w:eastAsia="宋体" w:cs="宋体"/>
          <w:b w:val="0"/>
          <w:bCs w:val="0"/>
          <w:i w:val="0"/>
          <w:iCs w:val="0"/>
          <w:caps w:val="0"/>
          <w:spacing w:val="0"/>
          <w:kern w:val="0"/>
          <w:sz w:val="24"/>
          <w:szCs w:val="24"/>
          <w:shd w:val="clear" w:fill="FFFFFF"/>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h</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1</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3</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2</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2</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3</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4</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R</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 1,...,4)</w:t>
      </w:r>
      <w:r>
        <w:rPr>
          <w:rFonts w:hint="eastAsia" w:ascii="宋体" w:hAnsi="宋体" w:eastAsia="宋体" w:cs="宋体"/>
          <w:b w:val="0"/>
          <w:bCs w:val="0"/>
          <w:i w:val="0"/>
          <w:iCs w:val="0"/>
          <w:caps w:val="0"/>
          <w:spacing w:val="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使用这些输入是基于对</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）的观察。大多数作者的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都在他们的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众数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5左右，只有少数作者拥有大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。因此，作者的邻居很可能是小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的作者。因此，对于小度作者来说，这些作者与其邻居之间的度差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距</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很小，而对于大度作者来说则很大，这导致了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）的趋势变化。</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在每个科学类别中，超度和邻居的平均超度之间的相关系数约为零（表5）。对于具有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）表示其邻居的平均超度。这意味着选择合作者不受生产力因素的影响。事实上，研究团队的成员可能有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各种各样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的科学年龄（新加入者、现任者），因此有不同的超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。由于合作主要发生在一个研究团队中，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作者的合作者可能具有不同的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）的稳定趋势。</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）的平均值大于2，以及74.62%的作者在数据中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有一篇论文，我们可以得出，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在数据中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很大一部分作者与至少一位在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1999-2003发表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过第一篇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论文的作者合作。这些作者在生物学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物理学</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社会科学上</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的比例分别为79.22%、71.17%和65.12%</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这一比例可能被高估了，因为其中一些作者可能在1999年之前在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上发表论文。</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3393440"/>
            <wp:effectExtent l="0" t="0" r="14605" b="10160"/>
            <wp:docPr id="11" name="图片 11" descr="截屏2023-05-16 23.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5-16 23.52.09"/>
                    <pic:cNvPicPr>
                      <a:picLocks noChangeAspect="1"/>
                    </pic:cNvPicPr>
                  </pic:nvPicPr>
                  <pic:blipFill>
                    <a:blip r:embed="rId20"/>
                    <a:stretch>
                      <a:fillRect/>
                    </a:stretch>
                  </pic:blipFill>
                  <pic:spPr>
                    <a:xfrm>
                      <a:off x="0" y="0"/>
                      <a:ext cx="5268595" cy="33934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4 </w:t>
      </w:r>
      <w:r>
        <w:rPr>
          <w:rFonts w:hint="eastAsia" w:ascii="宋体" w:hAnsi="宋体" w:eastAsia="宋体" w:cs="宋体"/>
          <w:b/>
          <w:bCs/>
          <w:sz w:val="21"/>
          <w:szCs w:val="21"/>
          <w:lang w:val="en-US" w:eastAsia="zh-Hans"/>
        </w:rPr>
        <w:t>给定特定指标的条件期望值</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从度为</w:t>
      </w:r>
      <w:r>
        <w:rPr>
          <w:rFonts w:hint="eastAsia" w:ascii="宋体" w:hAnsi="宋体" w:eastAsia="宋体" w:cs="宋体"/>
          <w:sz w:val="21"/>
          <w:szCs w:val="21"/>
          <w:lang w:eastAsia="zh-Hans"/>
        </w:rPr>
        <w:t>1</w:t>
      </w:r>
      <w:r>
        <w:rPr>
          <w:rFonts w:hint="eastAsia" w:ascii="宋体" w:hAnsi="宋体" w:eastAsia="宋体" w:cs="宋体"/>
          <w:sz w:val="21"/>
          <w:szCs w:val="21"/>
          <w:lang w:val="en-US" w:eastAsia="zh-Hans"/>
        </w:rPr>
        <w:t>到最大值</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我们计算了在</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度的节点上的平均局部聚类系数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CC</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合作者的局部传递性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TC</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DN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节点邻居的平均超度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HN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数据按横坐标归类来提取藏在噪声中的趋势</w:t>
      </w:r>
      <w:r>
        <w:rPr>
          <w:rFonts w:hint="eastAsia" w:ascii="宋体" w:hAnsi="宋体" w:eastAsia="宋体" w:cs="宋体"/>
          <w:sz w:val="21"/>
          <w:szCs w:val="21"/>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lang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rPr>
      </w:pPr>
      <w:r>
        <w:rPr>
          <w:rFonts w:hint="eastAsia" w:ascii="黑体" w:hAnsi="黑体" w:eastAsia="黑体" w:cs="黑体"/>
          <w:b/>
          <w:bCs/>
          <w:sz w:val="32"/>
          <w:szCs w:val="32"/>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5 </w:t>
      </w:r>
      <w:r>
        <w:rPr>
          <w:rFonts w:hint="eastAsia" w:ascii="黑体" w:hAnsi="黑体" w:eastAsia="黑体" w:cs="黑体"/>
          <w:b/>
          <w:bCs/>
          <w:sz w:val="32"/>
          <w:szCs w:val="32"/>
          <w:lang w:val="en-US" w:eastAsia="zh-Hans"/>
        </w:rPr>
        <w:t>在</w:t>
      </w:r>
      <w:r>
        <w:rPr>
          <w:rFonts w:hint="eastAsia" w:ascii="黑体" w:hAnsi="黑体" w:eastAsia="黑体" w:cs="黑体"/>
          <w:b/>
          <w:bCs/>
          <w:i w:val="0"/>
          <w:iCs w:val="0"/>
          <w:caps w:val="0"/>
          <w:color w:val="000000"/>
          <w:spacing w:val="20"/>
          <w:kern w:val="0"/>
          <w:sz w:val="32"/>
          <w:szCs w:val="32"/>
          <w:shd w:val="clear" w:fill="FFFFFF"/>
          <w:lang w:val="en-US" w:eastAsia="zh-CN" w:bidi="ar"/>
        </w:rPr>
        <w:t>学科层面的跨学科性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类别比例衡量跨学科研究的活动。发表跨学科论文的社会、物理和生物科学作者分别占49.2%、46.0%和7.3%。常识表明，社会科学家单独从事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研究。社会科学的比例表明常识在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中并不成立。参考文献</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还表明，近几十年来，社会科学的跨学科性有所增加。</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val="en-US" w:eastAsia="zh-CN" w:bidi="ar"/>
        </w:rPr>
      </w:pPr>
      <w:r>
        <w:rPr>
          <w:rFonts w:hint="eastAsia" w:ascii="宋体" w:hAnsi="宋体" w:eastAsia="宋体" w:cs="宋体"/>
          <w:i w:val="0"/>
          <w:iCs w:val="0"/>
          <w:caps w:val="0"/>
          <w:color w:val="000000"/>
          <w:spacing w:val="20"/>
          <w:kern w:val="0"/>
          <w:sz w:val="24"/>
          <w:szCs w:val="24"/>
          <w:shd w:val="clear" w:fill="FFFFFF"/>
          <w:lang w:val="en-US" w:eastAsia="zh-CN" w:bidi="ar"/>
        </w:rPr>
        <w:t>上述分析过程可以应用于二级学科，以获得</w:t>
      </w:r>
      <w:r>
        <w:rPr>
          <w:rFonts w:hint="eastAsia" w:ascii="宋体" w:hAnsi="宋体" w:eastAsia="宋体" w:cs="宋体"/>
          <w:i w:val="0"/>
          <w:iCs w:val="0"/>
          <w:caps w:val="0"/>
          <w:color w:val="000000"/>
          <w:spacing w:val="20"/>
          <w:kern w:val="0"/>
          <w:sz w:val="24"/>
          <w:szCs w:val="24"/>
          <w:shd w:val="clear" w:fill="FFFFFF"/>
          <w:lang w:val="en-US" w:eastAsia="zh-Hans" w:bidi="ar"/>
        </w:rPr>
        <w:t>更准确</w:t>
      </w:r>
      <w:r>
        <w:rPr>
          <w:rFonts w:hint="eastAsia" w:ascii="宋体" w:hAnsi="宋体" w:eastAsia="宋体" w:cs="宋体"/>
          <w:i w:val="0"/>
          <w:iCs w:val="0"/>
          <w:caps w:val="0"/>
          <w:color w:val="000000"/>
          <w:spacing w:val="20"/>
          <w:kern w:val="0"/>
          <w:sz w:val="24"/>
          <w:szCs w:val="24"/>
          <w:shd w:val="clear" w:fill="FFFFFF"/>
          <w:lang w:val="en-US" w:eastAsia="zh-CN" w:bidi="ar"/>
        </w:rPr>
        <w:t>的结果。然而，有些学科只有</w:t>
      </w:r>
      <w:r>
        <w:rPr>
          <w:rFonts w:hint="eastAsia" w:ascii="宋体" w:hAnsi="宋体" w:eastAsia="宋体" w:cs="宋体"/>
          <w:i w:val="0"/>
          <w:iCs w:val="0"/>
          <w:caps w:val="0"/>
          <w:color w:val="000000"/>
          <w:spacing w:val="20"/>
          <w:kern w:val="0"/>
          <w:sz w:val="24"/>
          <w:szCs w:val="24"/>
          <w:shd w:val="clear" w:fill="FFFFFF"/>
          <w:lang w:val="en-US" w:eastAsia="zh-Hans" w:bidi="ar"/>
        </w:rPr>
        <w:t>少量的</w:t>
      </w:r>
      <w:r>
        <w:rPr>
          <w:rFonts w:hint="eastAsia" w:ascii="宋体" w:hAnsi="宋体" w:eastAsia="宋体" w:cs="宋体"/>
          <w:i w:val="0"/>
          <w:iCs w:val="0"/>
          <w:caps w:val="0"/>
          <w:color w:val="000000"/>
          <w:spacing w:val="20"/>
          <w:kern w:val="0"/>
          <w:sz w:val="24"/>
          <w:szCs w:val="24"/>
          <w:shd w:val="clear" w:fill="FFFFFF"/>
          <w:lang w:val="en-US" w:eastAsia="zh-CN" w:bidi="ar"/>
        </w:rPr>
        <w:t>论文，例如只有17篇政治学论文。因此，对这些学科的分析失去了统计学意义。因此，我们从另一个角度分析了二级学科之间的相互作用，将它们可视化为图2中的网络。网络是连接的，也就是说没有任何学科是孤立的。该网络的</w:t>
      </w:r>
      <w:r>
        <w:rPr>
          <w:rFonts w:hint="eastAsia" w:ascii="宋体" w:hAnsi="宋体" w:eastAsia="宋体" w:cs="宋体"/>
          <w:i w:val="0"/>
          <w:iCs w:val="0"/>
          <w:caps w:val="0"/>
          <w:color w:val="000000"/>
          <w:spacing w:val="20"/>
          <w:kern w:val="0"/>
          <w:sz w:val="24"/>
          <w:szCs w:val="24"/>
          <w:shd w:val="clear" w:fill="FFFFFF"/>
          <w:lang w:val="en-US" w:eastAsia="zh-Hans" w:bidi="ar"/>
        </w:rPr>
        <w:t>度和介数中心性</w:t>
      </w:r>
      <w:r>
        <w:rPr>
          <w:rFonts w:hint="eastAsia" w:ascii="宋体" w:hAnsi="宋体" w:eastAsia="宋体" w:cs="宋体"/>
          <w:i w:val="0"/>
          <w:iCs w:val="0"/>
          <w:caps w:val="0"/>
          <w:color w:val="000000"/>
          <w:spacing w:val="20"/>
          <w:kern w:val="0"/>
          <w:sz w:val="24"/>
          <w:szCs w:val="24"/>
          <w:shd w:val="clear" w:fill="FFFFFF"/>
          <w:lang w:val="en-US" w:eastAsia="zh-CN" w:bidi="ar"/>
        </w:rPr>
        <w:t>前三</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节点是应用数学、化学和人类学（表1）。</w:t>
      </w:r>
      <w:r>
        <w:rPr>
          <w:rFonts w:hint="eastAsia" w:ascii="宋体" w:hAnsi="宋体" w:eastAsia="宋体" w:cs="宋体"/>
          <w:sz w:val="24"/>
          <w:szCs w:val="24"/>
          <w:lang w:val="en-US" w:eastAsia="zh-Hans"/>
        </w:rPr>
        <w:t>它意味着这些学科的理论</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方法和问题直接或间接地使用或研究在许多学科中</w:t>
      </w:r>
      <w:r>
        <w:rPr>
          <w:rFonts w:hint="eastAsia" w:ascii="宋体" w:hAnsi="宋体" w:eastAsia="宋体" w:cs="宋体"/>
          <w:sz w:val="24"/>
          <w:szCs w:val="24"/>
          <w:lang w:eastAsia="zh-Hans"/>
        </w:rPr>
        <w:t>。</w:t>
      </w:r>
      <w:r>
        <w:rPr>
          <w:rFonts w:hint="eastAsia" w:ascii="宋体" w:hAnsi="宋体" w:eastAsia="宋体" w:cs="宋体"/>
          <w:i w:val="0"/>
          <w:iCs w:val="0"/>
          <w:caps w:val="0"/>
          <w:color w:val="000000"/>
          <w:spacing w:val="20"/>
          <w:kern w:val="0"/>
          <w:sz w:val="24"/>
          <w:szCs w:val="24"/>
          <w:shd w:val="clear" w:fill="FFFFFF"/>
          <w:lang w:val="en-US" w:eastAsia="zh-CN" w:bidi="ar"/>
        </w:rPr>
        <w:t>对于每个一类学科，我们将其二类学科收缩为一个节点，并计算收缩节点的介数中心性。它们的介数中心性（生物科学47.51，物理科学163.81，社会科学161.72）支持上述</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分析。</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CN" w:bidi="ar"/>
        </w:rPr>
      </w:pPr>
      <w:r>
        <w:rPr>
          <w:rFonts w:hint="eastAsia" w:ascii="宋体" w:hAnsi="宋体" w:eastAsia="宋体" w:cs="宋体"/>
          <w:i w:val="0"/>
          <w:iCs w:val="0"/>
          <w:caps w:val="0"/>
          <w:color w:val="000000"/>
          <w:spacing w:val="20"/>
          <w:kern w:val="0"/>
          <w:sz w:val="24"/>
          <w:szCs w:val="24"/>
          <w:shd w:val="clear" w:fill="FFFFFF"/>
          <w:lang w:eastAsia="zh-CN" w:bidi="ar"/>
        </w:rPr>
        <w:drawing>
          <wp:inline distT="0" distB="0" distL="114300" distR="114300">
            <wp:extent cx="5273675" cy="1894205"/>
            <wp:effectExtent l="0" t="0" r="9525" b="10795"/>
            <wp:docPr id="12" name="图片 12" descr="截屏2023-05-17 0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5-17 00.36.20"/>
                    <pic:cNvPicPr>
                      <a:picLocks noChangeAspect="1"/>
                    </pic:cNvPicPr>
                  </pic:nvPicPr>
                  <pic:blipFill>
                    <a:blip r:embed="rId21"/>
                    <a:stretch>
                      <a:fillRect/>
                    </a:stretch>
                  </pic:blipFill>
                  <pic:spPr>
                    <a:xfrm>
                      <a:off x="0" y="0"/>
                      <a:ext cx="5273675" cy="189420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年在生物</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物理</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社会科学的交叉学科研究</w:t>
      </w:r>
      <w:r>
        <w:rPr>
          <w:rFonts w:hint="eastAsia" w:ascii="宋体" w:hAnsi="宋体" w:eastAsia="宋体" w:cs="宋体"/>
          <w:i w:val="0"/>
          <w:iCs w:val="0"/>
          <w:caps w:val="0"/>
          <w:color w:val="000000"/>
          <w:spacing w:val="20"/>
          <w:kern w:val="0"/>
          <w:sz w:val="21"/>
          <w:szCs w:val="21"/>
          <w:shd w:val="clear" w:fill="FFFFFF"/>
          <w:lang w:eastAsia="zh-Hans" w:bidi="ar"/>
        </w:rPr>
        <w:t xml:space="preserve"> </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a</w:t>
      </w:r>
      <w:r>
        <w:rPr>
          <w:rFonts w:hint="eastAsia" w:ascii="宋体" w:hAnsi="宋体" w:eastAsia="宋体" w:cs="宋体"/>
          <w:i w:val="0"/>
          <w:iCs w:val="0"/>
          <w:caps w:val="0"/>
          <w:color w:val="000000"/>
          <w:spacing w:val="20"/>
          <w:kern w:val="0"/>
          <w:sz w:val="21"/>
          <w:szCs w:val="21"/>
          <w:shd w:val="clear" w:fill="FFFFFF"/>
          <w:lang w:val="en-US" w:eastAsia="zh-Hans" w:bidi="ar"/>
        </w:rPr>
        <w:t>中展示了这三个科学学科的论文和这些作者参与动态交互的部分</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并且这些参与交互的部分不是单学科</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b</w:t>
      </w:r>
      <w:r>
        <w:rPr>
          <w:rFonts w:hint="eastAsia" w:ascii="宋体" w:hAnsi="宋体" w:eastAsia="宋体" w:cs="宋体"/>
          <w:i w:val="0"/>
          <w:iCs w:val="0"/>
          <w:caps w:val="0"/>
          <w:color w:val="000000"/>
          <w:spacing w:val="20"/>
          <w:kern w:val="0"/>
          <w:sz w:val="21"/>
          <w:szCs w:val="21"/>
          <w:shd w:val="clear" w:fill="FFFFFF"/>
          <w:lang w:val="en-US" w:eastAsia="zh-Hans" w:bidi="ar"/>
        </w:rPr>
        <w:t>中展示了每个科学学科的作者</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论文视角的</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Rao</w:t>
      </w:r>
      <w:r>
        <w:rPr>
          <w:rFonts w:hint="eastAsia" w:ascii="宋体" w:hAnsi="宋体" w:eastAsia="宋体" w:cs="宋体"/>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Sterling</w:t>
      </w:r>
      <w:r>
        <w:rPr>
          <w:rFonts w:hint="eastAsia" w:ascii="宋体" w:hAnsi="宋体" w:eastAsia="宋体" w:cs="宋体"/>
          <w:i w:val="0"/>
          <w:iCs w:val="0"/>
          <w:caps w:val="0"/>
          <w:color w:val="000000"/>
          <w:spacing w:val="20"/>
          <w:kern w:val="0"/>
          <w:sz w:val="21"/>
          <w:szCs w:val="21"/>
          <w:shd w:val="clear" w:fill="FFFFFF"/>
          <w:lang w:val="en-US" w:eastAsia="zh-Hans" w:bidi="ar"/>
        </w:rPr>
        <w:t>多样性</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其测量了交叉学科研究的学科多样性</w:t>
      </w:r>
      <w:r>
        <w:rPr>
          <w:rFonts w:hint="eastAsia" w:ascii="宋体" w:hAnsi="宋体" w:eastAsia="宋体" w:cs="宋体"/>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同类别比例仅描述跨学科活动。现在，让我们通过</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指数</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xxxviii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来衡量每个科学类别中跨学科研究的学科多样性，其中，</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论文/作者在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科学类别中的比例</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类别的不同贡献水平</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。学科信息用于将作者分为科学类别：如果他的一篇论文属于某个学科，则作者可以被分为该学科，从而被分为相应的科学。注意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如果一位作者的论文属于多个学科，那么他可以被分为几个科学类别。这里，我们让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所有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满足</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β</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1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，因此计算的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衡量了科学类别水平上跨学科研究的平衡加权变化。作者观点和论文观点的指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表明，社会科学和物理科学跨学科研究的学科多样性远高于生物科学（图5）。</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6 </w:t>
      </w:r>
      <w:r>
        <w:rPr>
          <w:rFonts w:hint="eastAsia" w:ascii="黑体" w:hAnsi="黑体" w:eastAsia="黑体" w:cs="黑体"/>
          <w:b/>
          <w:bCs/>
          <w:sz w:val="32"/>
          <w:szCs w:val="32"/>
          <w:lang w:val="en-US" w:eastAsia="zh-Hans"/>
        </w:rPr>
        <w:t>在作者</w:t>
      </w:r>
      <w:r>
        <w:rPr>
          <w:rFonts w:hint="eastAsia" w:ascii="黑体" w:hAnsi="黑体" w:eastAsia="黑体" w:cs="黑体"/>
          <w:b/>
          <w:bCs/>
          <w:i w:val="0"/>
          <w:iCs w:val="0"/>
          <w:caps w:val="0"/>
          <w:color w:val="000000"/>
          <w:spacing w:val="20"/>
          <w:kern w:val="0"/>
          <w:sz w:val="32"/>
          <w:szCs w:val="32"/>
          <w:shd w:val="clear" w:fill="FFFFFF"/>
          <w:lang w:val="en-US" w:eastAsia="zh-CN" w:bidi="ar"/>
        </w:rPr>
        <w:t>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与进行跨学科研究的可能性之间的关系，以及论文团队规模与成为跨学科论文的概率之间的关系。图6显示，在每个科学类别中，跨学科研究不仅仅是由拥有大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或拥有大超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的作者进行。</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230" cy="1766570"/>
            <wp:effectExtent l="0" t="0" r="13970" b="11430"/>
            <wp:docPr id="13" name="图片 13" descr="截屏2023-05-17 0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5-17 00.42.13"/>
                    <pic:cNvPicPr>
                      <a:picLocks noChangeAspect="1"/>
                    </pic:cNvPicPr>
                  </pic:nvPicPr>
                  <pic:blipFill>
                    <a:blip r:embed="rId22"/>
                    <a:stretch>
                      <a:fillRect/>
                    </a:stretch>
                  </pic:blipFill>
                  <pic:spPr>
                    <a:xfrm>
                      <a:off x="0" y="0"/>
                      <a:ext cx="5269230" cy="17665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6 </w:t>
      </w:r>
      <w:r>
        <w:rPr>
          <w:rFonts w:hint="eastAsia" w:ascii="宋体" w:hAnsi="宋体" w:eastAsia="宋体" w:cs="宋体"/>
          <w:b/>
          <w:bCs/>
          <w:i w:val="0"/>
          <w:iCs w:val="0"/>
          <w:caps w:val="0"/>
          <w:color w:val="000000"/>
          <w:spacing w:val="20"/>
          <w:kern w:val="0"/>
          <w:sz w:val="21"/>
          <w:szCs w:val="21"/>
          <w:shd w:val="clear" w:fill="FFFFFF"/>
          <w:lang w:val="en-US" w:eastAsia="zh-Hans" w:bidi="ar"/>
        </w:rPr>
        <w:t>在作者和论文的特定指标以及他们的交叉学科性之间的关系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a</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展示了作者的度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超度和进行交叉学科研究的可能性的关系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展示了论文团队规模和成为交叉学科论文的可能性的关系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作者很可能参与跨学科研究，团队规模大的论文很可能是跨学科的。这些现象似乎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被</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预期是随机的。取几类的一组元素（合作者、论文），随机选择一个子集。那么，一个较大的子集更有可能包含来自多个类的元素。这种推理虽然合理，但并不正确，因为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并没有随机选择主题和合作者。研究成本（时间和精力的投资）使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倾向于在自己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熟悉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的领域内工作。此外，</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这个推理基于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合作伙伴的选择范围仅限于经验数据，这在现实中是不成立的。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1999-2013的庞大组成部分，该网络包含超过86.8%的作者。社会、物理和生物科学的作者分别占71.5%、76.7%和88.9%（图7</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由初始基本方法引起的作者错误识别增加了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通过论文中提供的作者姓名来识别作者（这可能会将一位作者分成两位），以获得保守的结果。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lang w:eastAsia="zh-Hans"/>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跨学科研究和多学科研究为包含每个科学类别的大多数作者的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大组成部分做出了贡献。我们分析了巨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的作者比例与作者活动/生产力之间的关系。将作者从高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移除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到低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计算出巨大成分的比例。从删除作者的比例与巨大成分的比例之间的关系曲线可以发现，巨大成分的形成是由相当多的作者贡献的，例如按度排名的前10%的作者（图8）。考虑三个时期的关系，即1999-2003年、2004-2008年和2009-2013年。随着时间的推移，关系曲线向左移动，这意味着作者的活动和生产力在这个巨大组成部分的形成中发挥着越来越重要的作用。</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69865" cy="4111625"/>
            <wp:effectExtent l="0" t="0" r="13335" b="3175"/>
            <wp:docPr id="14" name="图片 14" descr="截屏2023-05-17 0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5-17 00.53.28"/>
                    <pic:cNvPicPr>
                      <a:picLocks noChangeAspect="1"/>
                    </pic:cNvPicPr>
                  </pic:nvPicPr>
                  <pic:blipFill>
                    <a:blip r:embed="rId23"/>
                    <a:stretch>
                      <a:fillRect/>
                    </a:stretch>
                  </pic:blipFill>
                  <pic:spPr>
                    <a:xfrm>
                      <a:off x="0" y="0"/>
                      <a:ext cx="5269865" cy="4111625"/>
                    </a:xfrm>
                    <a:prstGeom prst="rect">
                      <a:avLst/>
                    </a:prstGeom>
                  </pic:spPr>
                </pic:pic>
              </a:graphicData>
            </a:graphic>
          </wp:inline>
        </w:drawing>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1"/>
          <w:szCs w:val="21"/>
          <w:lang w:eastAsia="zh-Hans" w:bidi="ar"/>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7 </w:t>
      </w:r>
      <w:r>
        <w:rPr>
          <w:rFonts w:hint="eastAsia" w:ascii="宋体" w:hAnsi="宋体" w:eastAsia="宋体" w:cs="宋体"/>
          <w:b/>
          <w:bCs/>
          <w:sz w:val="21"/>
          <w:szCs w:val="21"/>
          <w:lang w:val="en-US" w:eastAsia="zh-Hans"/>
        </w:rPr>
        <w:t>特定学科的交叉程度</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对于每一个考虑到的学科</w:t>
      </w:r>
      <w:r>
        <w:rPr>
          <w:rFonts w:hint="eastAsia" w:ascii="Times New Roman" w:hAnsi="Times New Roman" w:eastAsia="宋体" w:cs="宋体"/>
          <w:sz w:val="21"/>
          <w:szCs w:val="21"/>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我们分别用集合</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val="en-US" w:eastAsia="zh-Hans"/>
        </w:rPr>
        <w:t>表示了它的作者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它参与交叉学科研究的作者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它的交叉学科论文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用</w:t>
      </w:r>
      <w:r>
        <w:rPr>
          <w:rFonts w:hint="eastAsia" w:ascii="Times New Roman" w:hAnsi="Times New Roman" w:eastAsia="宋体" w:cs="宋体"/>
          <w:sz w:val="21"/>
          <w:szCs w:val="21"/>
          <w:lang w:val="en-US" w:eastAsia="zh-Hans"/>
        </w:rPr>
        <w:t>S</w:t>
      </w:r>
      <w:r>
        <w:rPr>
          <w:rFonts w:hint="eastAsia" w:ascii="宋体" w:hAnsi="宋体" w:eastAsia="宋体" w:cs="宋体"/>
          <w:sz w:val="21"/>
          <w:szCs w:val="21"/>
          <w:lang w:val="en-US" w:eastAsia="zh-Hans"/>
        </w:rPr>
        <w:t>表示</w:t>
      </w:r>
      <w:r>
        <w:rPr>
          <w:rFonts w:hint="eastAsia" w:ascii="Times New Roman" w:hAnsi="Times New Roman" w:eastAsia="宋体" w:cs="宋体"/>
          <w:sz w:val="21"/>
          <w:szCs w:val="21"/>
          <w:lang w:val="en-US" w:eastAsia="zh-Hans"/>
        </w:rPr>
        <w:t>PNAS</w:t>
      </w:r>
      <w:r>
        <w:rPr>
          <w:rFonts w:hint="eastAsia" w:ascii="宋体" w:hAnsi="宋体" w:eastAsia="宋体" w:cs="宋体"/>
          <w:sz w:val="21"/>
          <w:szCs w:val="21"/>
          <w:lang w:eastAsia="zh-Hans"/>
        </w:rPr>
        <w:t xml:space="preserve"> 1999～2013</w:t>
      </w:r>
      <w:r>
        <w:rPr>
          <w:rFonts w:hint="eastAsia" w:ascii="宋体" w:hAnsi="宋体" w:eastAsia="宋体" w:cs="宋体"/>
          <w:sz w:val="21"/>
          <w:szCs w:val="21"/>
          <w:lang w:val="en-US" w:eastAsia="zh-Hans"/>
        </w:rPr>
        <w:t>合作网络的巨大组成部分</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中指标为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vertAlign w:val="baseline"/>
          <w:lang w:val="en-US"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c</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d</w:t>
      </w:r>
      <w:r>
        <w:rPr>
          <w:rFonts w:hint="eastAsia" w:ascii="宋体" w:hAnsi="宋体" w:eastAsia="宋体" w:cs="宋体"/>
          <w:kern w:val="2"/>
          <w:sz w:val="21"/>
          <w:szCs w:val="21"/>
          <w:lang w:val="en-US" w:eastAsia="zh-Hans" w:bidi="ar"/>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e</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Hans" w:bidi="ar"/>
        </w:rPr>
        <w:t>S</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f</w:t>
      </w:r>
      <w:r>
        <w:rPr>
          <w:rFonts w:hint="eastAsia" w:ascii="宋体" w:hAnsi="宋体" w:eastAsia="宋体" w:cs="宋体"/>
          <w:kern w:val="2"/>
          <w:sz w:val="21"/>
          <w:szCs w:val="21"/>
          <w:lang w:val="en-US" w:eastAsia="zh-Hans" w:bidi="ar"/>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val="en-US" w:eastAsia="zh-Hans"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eastAsia="zh-Hans" w:bidi="ar"/>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70500" cy="1939925"/>
            <wp:effectExtent l="0" t="0" r="12700" b="15875"/>
            <wp:docPr id="15" name="图片 15" descr="截屏2023-05-17 00.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5-17 00.53.52"/>
                    <pic:cNvPicPr>
                      <a:picLocks noChangeAspect="1"/>
                    </pic:cNvPicPr>
                  </pic:nvPicPr>
                  <pic:blipFill>
                    <a:blip r:embed="rId24"/>
                    <a:stretch>
                      <a:fillRect/>
                    </a:stretch>
                  </pic:blipFill>
                  <pic:spPr>
                    <a:xfrm>
                      <a:off x="0" y="0"/>
                      <a:ext cx="5270500" cy="193992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8 </w:t>
      </w:r>
      <w:r>
        <w:rPr>
          <w:rFonts w:hint="eastAsia" w:ascii="宋体" w:hAnsi="宋体" w:eastAsia="宋体" w:cs="宋体"/>
          <w:b/>
          <w:bCs/>
          <w:sz w:val="21"/>
          <w:szCs w:val="21"/>
          <w:lang w:val="en-US" w:eastAsia="zh-Hans"/>
        </w:rPr>
        <w:t>巨大组成部分和度</w:t>
      </w:r>
      <w:r>
        <w:rPr>
          <w:rFonts w:hint="eastAsia" w:ascii="宋体" w:hAnsi="宋体" w:eastAsia="宋体" w:cs="宋体"/>
          <w:b/>
          <w:bCs/>
          <w:sz w:val="21"/>
          <w:szCs w:val="21"/>
          <w:lang w:eastAsia="zh-Hans"/>
        </w:rPr>
        <w:t>/</w:t>
      </w:r>
      <w:r>
        <w:rPr>
          <w:rFonts w:hint="eastAsia" w:ascii="宋体" w:hAnsi="宋体" w:eastAsia="宋体" w:cs="宋体"/>
          <w:b/>
          <w:bCs/>
          <w:sz w:val="21"/>
          <w:szCs w:val="21"/>
          <w:lang w:val="en-US" w:eastAsia="zh-Hans"/>
        </w:rPr>
        <w:t>超度的关系</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分别将节点从高度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超度移到低度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对于不同的度和超度来说</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移除节点的部分和巨大组成部分的关系曲线展示了大部分作者为巨大组成部分作出了贡献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在三个时间周期</w:t>
      </w:r>
      <w:r>
        <w:rPr>
          <w:rFonts w:hint="eastAsia" w:ascii="宋体" w:hAnsi="宋体" w:eastAsia="宋体" w:cs="宋体"/>
          <w:sz w:val="21"/>
          <w:szCs w:val="21"/>
          <w:lang w:eastAsia="zh-Hans"/>
        </w:rPr>
        <w:t>（1999-2003、2004-2008、2009-2013）</w:t>
      </w:r>
      <w:r>
        <w:rPr>
          <w:rFonts w:hint="eastAsia" w:ascii="宋体" w:hAnsi="宋体" w:eastAsia="宋体" w:cs="宋体"/>
          <w:sz w:val="21"/>
          <w:szCs w:val="21"/>
          <w:lang w:val="en-US" w:eastAsia="zh-Hans"/>
        </w:rPr>
        <w:t>的关系曲线左移趋向展示了作者活动和生产力对巨大组成部分的构成的贡献在上升</w:t>
      </w:r>
      <w:r>
        <w:rPr>
          <w:rFonts w:hint="eastAsia" w:ascii="宋体" w:hAnsi="宋体" w:eastAsia="宋体" w:cs="宋体"/>
          <w:sz w:val="21"/>
          <w:szCs w:val="21"/>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Hans"/>
        </w:rPr>
      </w:pPr>
    </w:p>
    <w:p>
      <w:pPr>
        <w:keepNext w:val="0"/>
        <w:keepLines w:val="0"/>
        <w:pageBreakBefore w:val="0"/>
        <w:numPr>
          <w:ilvl w:val="0"/>
          <w:numId w:val="2"/>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val="en-US" w:eastAsia="zh-Hans"/>
        </w:rPr>
        <w:t>结论和展望</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我们对</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 xml:space="preserve"> 1999-2013的案例研究验证了生物、物理和社会科学中合作模式的传递性和</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性。数据表明，这三个科学类别的度分布类型是相同的，它们是广义泊松分布和幂律的混合。这也适用于超</w:t>
      </w:r>
      <w:r>
        <w:rPr>
          <w:rFonts w:hint="eastAsia" w:ascii="宋体" w:hAnsi="宋体" w:eastAsia="宋体" w:cs="宋体"/>
          <w:i w:val="0"/>
          <w:iCs w:val="0"/>
          <w:caps w:val="0"/>
          <w:color w:val="000000"/>
          <w:spacing w:val="20"/>
          <w:kern w:val="0"/>
          <w:sz w:val="24"/>
          <w:szCs w:val="24"/>
          <w:shd w:val="clear" w:fill="FFFFFF"/>
          <w:lang w:val="en-US" w:eastAsia="zh-Hans" w:bidi="ar"/>
        </w:rPr>
        <w:t>度</w:t>
      </w:r>
      <w:r>
        <w:rPr>
          <w:rFonts w:hint="eastAsia" w:ascii="宋体" w:hAnsi="宋体" w:eastAsia="宋体" w:cs="宋体"/>
          <w:i w:val="0"/>
          <w:iCs w:val="0"/>
          <w:caps w:val="0"/>
          <w:color w:val="000000"/>
          <w:spacing w:val="20"/>
          <w:kern w:val="0"/>
          <w:sz w:val="24"/>
          <w:szCs w:val="24"/>
          <w:shd w:val="clear" w:fill="FFFFFF"/>
          <w:lang w:val="en-US" w:eastAsia="zh-CN" w:bidi="ar"/>
        </w:rPr>
        <w:t>。我们通过作者的“是/否”决定以及他们吸引合作的不同能力，为这种分布类型的出现提供了解释。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数据显示，相当多的作者从事跨学科研究，合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eastAsia="zh-CN" w:bidi="ar"/>
        </w:rPr>
        <w:t xml:space="preserve">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大组成部分包含了每个科学类别的大多数作者。我们采用网络视角分析了二级学科之间的相互作用，并通过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介数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中心性等网络指标量化了它们的跨学科性。我们发现特定的二级学科（如应用数学和人类学）在跨学科研究中发挥着重要作用。</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由于</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的重要性及其论文的准确学科信息，该案例研究有助于理解多学科和跨学科的合作模式。数据的选择可能会影响我们关于跨学科研究结果的细节。我们的研究结果可能不能被解释为一般研究人员的模式。例如，我们无法期望通过分析特定领域的期刊来观察到高度的跨学科性。我们在完成案例研究时提出了一个问题：跨学科研究的</w:t>
      </w:r>
      <w:r>
        <w:rPr>
          <w:rFonts w:hint="eastAsia" w:ascii="宋体" w:hAnsi="宋体" w:eastAsia="宋体" w:cs="宋体"/>
          <w:i w:val="0"/>
          <w:iCs w:val="0"/>
          <w:caps w:val="0"/>
          <w:color w:val="000000"/>
          <w:spacing w:val="20"/>
          <w:kern w:val="0"/>
          <w:sz w:val="24"/>
          <w:szCs w:val="24"/>
          <w:shd w:val="clear" w:fill="FFFFFF"/>
          <w:lang w:val="en-US" w:eastAsia="zh-Hans" w:bidi="ar"/>
        </w:rPr>
        <w:t>基础</w:t>
      </w:r>
      <w:r>
        <w:rPr>
          <w:rFonts w:hint="eastAsia" w:ascii="宋体" w:hAnsi="宋体" w:eastAsia="宋体" w:cs="宋体"/>
          <w:i w:val="0"/>
          <w:iCs w:val="0"/>
          <w:caps w:val="0"/>
          <w:color w:val="000000"/>
          <w:spacing w:val="20"/>
          <w:kern w:val="0"/>
          <w:sz w:val="24"/>
          <w:szCs w:val="24"/>
          <w:shd w:val="clear" w:fill="FFFFFF"/>
          <w:lang w:val="en-US" w:eastAsia="zh-CN" w:bidi="ar"/>
        </w:rPr>
        <w:t>依据是什么？虽然对这个问题的</w:t>
      </w:r>
      <w:r>
        <w:rPr>
          <w:rFonts w:hint="eastAsia" w:ascii="宋体" w:hAnsi="宋体" w:eastAsia="宋体" w:cs="宋体"/>
          <w:i w:val="0"/>
          <w:iCs w:val="0"/>
          <w:caps w:val="0"/>
          <w:color w:val="000000"/>
          <w:spacing w:val="20"/>
          <w:kern w:val="0"/>
          <w:sz w:val="24"/>
          <w:szCs w:val="24"/>
          <w:shd w:val="clear" w:fill="FFFFFF"/>
          <w:lang w:val="en-US" w:eastAsia="zh-Hans" w:bidi="ar"/>
        </w:rPr>
        <w:t>探究的</w:t>
      </w:r>
      <w:r>
        <w:rPr>
          <w:rFonts w:hint="eastAsia" w:ascii="宋体" w:hAnsi="宋体" w:eastAsia="宋体" w:cs="宋体"/>
          <w:i w:val="0"/>
          <w:iCs w:val="0"/>
          <w:caps w:val="0"/>
          <w:color w:val="000000"/>
          <w:spacing w:val="20"/>
          <w:kern w:val="0"/>
          <w:sz w:val="24"/>
          <w:szCs w:val="24"/>
          <w:shd w:val="clear" w:fill="FFFFFF"/>
          <w:lang w:val="en-US" w:eastAsia="zh-CN" w:bidi="ar"/>
        </w:rPr>
        <w:t>讨论超出了本文的范围，但下面提供了一个简单的讨论。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在科学的发展过程中，学科有分裂的趋势：分为子学科和特定主题。尽管研究对象不同，但它们的研究范式是共同的，可以分为四类，即理论研究、实验、模拟和数据驱动</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。同时，许多科学问题过于复杂，无法通过单一学科的方法论来理解。将来自不同学科的理论和方法论观点整合在一起，为研究问题创造了统一的方法论，甚至为特定学科中的概念提供了工具</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，这推动了跨学科学科的形成</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系统科学作为一门典型的跨学科学科，研究系统从简单到复杂，从自然到社会科学。系统的各部分以及各部分之间的关系可以抽象为网络。网络（模型、算法等）研究的迅速发展孕育了一个新的学科，即网络科学。一些来自生物、物理和社会领域的研究人员在网络框架下调查了他们各自的问题</w:t>
      </w:r>
      <w:r>
        <w:rPr>
          <w:rStyle w:val="8"/>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，例如我们的案例研究。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为了跟进上述内容，人们会认为常见的研究范式和方法论，特别是那些整合为跨学科学科的研究范式，为科学类别之间的相互作用以及合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网络中巨大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的形成提供了依据。分析论文内容有助于验证这些范式和方法的普遍性，这似乎很有希望。超过一半的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1999-2013论文包含“系统”和“控制”这两个主题词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。论文在一定程度上包含主题词的比例很高，这反映了主题的典型性。然而，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这并不意味着</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一篇包含“系统”一词的论文和一篇应用系统科学研究成果的论文之间</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有很大的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关系。因此，在语义层面上评估普遍性是一个有待进一步研究的课题。</w:t>
      </w:r>
    </w:p>
    <w:p>
      <w:pPr>
        <w:keepNext w:val="0"/>
        <w:keepLines w:val="0"/>
        <w:widowControl/>
        <w:suppressLineNumbers w:val="0"/>
        <w:ind w:firstLine="420" w:firstLineChars="0"/>
        <w:jc w:val="left"/>
        <w:rPr>
          <w:rFonts w:hint="eastAsia" w:ascii="宋体" w:hAnsi="宋体" w:eastAsia="宋体" w:cs="宋体"/>
          <w:sz w:val="24"/>
          <w:szCs w:val="24"/>
        </w:rPr>
      </w:pPr>
    </w:p>
    <w:p>
      <w:pPr>
        <w:keepNext w:val="0"/>
        <w:keepLines w:val="0"/>
        <w:widowControl/>
        <w:suppressLineNumbers w:val="0"/>
        <w:ind w:firstLine="420" w:firstLineChars="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参考文献</w:t>
      </w:r>
    </w:p>
    <w:sectPr>
      <w:footerReference r:id="rId10"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6">
    <w:p>
      <w:r>
        <w:separator/>
      </w:r>
    </w:p>
  </w:endnote>
  <w:endnote w:type="continuationSeparator" w:id="107">
    <w:p>
      <w:r>
        <w:continuationSeparator/>
      </w:r>
    </w:p>
  </w:endnote>
  <w:endnote w:id="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Weingart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short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history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formations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Frodeman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Thomp</w:t>
      </w:r>
      <w:r>
        <w:rPr>
          <w:rFonts w:hint="default" w:ascii="Times New Roman" w:hAnsi="Times New Roman" w:eastAsia="CMR8" w:cs="CMR8"/>
          <w:color w:val="000000"/>
          <w:kern w:val="0"/>
          <w:sz w:val="15"/>
          <w:szCs w:val="15"/>
          <w:lang w:val="en-US" w:eastAsia="zh-CN" w:bidi="ar"/>
        </w:rPr>
        <w:t>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3-14).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Committee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Facilitating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(2004).</w:t>
      </w:r>
      <w:r>
        <w:rPr>
          <w:rFonts w:hint="default" w:ascii="Times New Roman" w:hAnsi="Times New Roman" w:eastAsia="CMR8" w:cs="CMR8"/>
          <w:color w:val="000000"/>
          <w:kern w:val="0"/>
          <w:sz w:val="15"/>
          <w:szCs w:val="15"/>
          <w:lang w:val="en-US" w:eastAsia="zh-CN" w:bidi="ar"/>
        </w:rPr>
        <w:t>Facilitating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National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Academy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Retrieved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http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www</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nap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edu</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books</w:t>
      </w:r>
      <w:r>
        <w:rPr>
          <w:rFonts w:hint="default" w:ascii="CMR8" w:hAnsi="CMR8" w:eastAsia="CMR8" w:cs="CMR8"/>
          <w:color w:val="000000"/>
          <w:kern w:val="0"/>
          <w:sz w:val="15"/>
          <w:szCs w:val="15"/>
          <w:lang w:val="en-US" w:eastAsia="zh-CN" w:bidi="ar"/>
        </w:rPr>
        <w:t>/0309094356/</w:t>
      </w:r>
      <w:r>
        <w:rPr>
          <w:rFonts w:hint="default" w:ascii="Times New Roman" w:hAnsi="Times New Roman" w:eastAsia="CMR8" w:cs="CMR8"/>
          <w:color w:val="000000"/>
          <w:kern w:val="0"/>
          <w:sz w:val="15"/>
          <w:szCs w:val="15"/>
          <w:lang w:val="en-US" w:eastAsia="zh-CN" w:bidi="ar"/>
        </w:rPr>
        <w:t>html</w:t>
      </w:r>
      <w:r>
        <w:rPr>
          <w:rFonts w:hint="default" w:ascii="CMR8" w:hAnsi="CMR8" w:eastAsia="CMR8" w:cs="CMR8"/>
          <w:color w:val="000000"/>
          <w:kern w:val="0"/>
          <w:sz w:val="15"/>
          <w:szCs w:val="15"/>
          <w:lang w:val="en-US" w:eastAsia="zh-CN" w:bidi="ar"/>
        </w:rPr>
        <w:t>/</w:t>
      </w:r>
    </w:p>
  </w:endnote>
  <w:endnote w:id="2">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Hurd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(1992)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Implications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w:t>
      </w:r>
      <w:r>
        <w:rPr>
          <w:rFonts w:hint="default" w:ascii="Times New Roman" w:hAnsi="Times New Roman" w:eastAsia="CMR8" w:cs="CMR8"/>
          <w:color w:val="000000"/>
          <w:kern w:val="0"/>
          <w:sz w:val="15"/>
          <w:szCs w:val="15"/>
          <w:lang w:val="en-US" w:eastAsia="zh-CN" w:bidi="ar"/>
        </w:rPr>
        <w:t>nizations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Liber</w:t>
      </w:r>
      <w:r>
        <w:rPr>
          <w:rFonts w:hint="default" w:ascii="CMR8" w:hAnsi="CMR8" w:eastAsia="CMR8" w:cs="CMR8"/>
          <w:color w:val="000000"/>
          <w:kern w:val="0"/>
          <w:sz w:val="15"/>
          <w:szCs w:val="15"/>
          <w:lang w:val="en-US" w:eastAsia="zh-CN" w:bidi="ar"/>
        </w:rPr>
        <w:t xml:space="preserve"> 53(4), 283-297.</w:t>
      </w:r>
    </w:p>
  </w:endnote>
  <w:endnote w:id="3">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Cooper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matter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Critical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governance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Sociology</w:t>
      </w:r>
      <w:r>
        <w:rPr>
          <w:rFonts w:hint="default" w:ascii="CMR8" w:hAnsi="CMR8" w:eastAsia="CMR8" w:cs="CMR8"/>
          <w:color w:val="000000"/>
          <w:kern w:val="0"/>
          <w:sz w:val="15"/>
          <w:szCs w:val="15"/>
          <w:lang w:val="en-US" w:eastAsia="zh-CN" w:bidi="ar"/>
        </w:rPr>
        <w:t xml:space="preserve"> 47(1), 74-89.</w:t>
      </w:r>
    </w:p>
  </w:endnote>
  <w:endnote w:id="4">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Hadorn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Pohl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Bammer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Solving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problems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Frodeman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Thompson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431-452).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5">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Siedlok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Hibbert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organization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drivers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barriers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16(2), 194-210. </w:t>
      </w:r>
    </w:p>
  </w:endnote>
  <w:endnote w:id="6">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Liu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integration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diffffusion</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Doc</w:t>
      </w:r>
      <w:r>
        <w:rPr>
          <w:rFonts w:hint="default" w:ascii="CMR8" w:hAnsi="CMR8" w:eastAsia="CMR8" w:cs="CMR8"/>
          <w:color w:val="000000"/>
          <w:kern w:val="0"/>
          <w:sz w:val="15"/>
          <w:szCs w:val="15"/>
          <w:lang w:val="en-US" w:eastAsia="zh-CN" w:bidi="ar"/>
        </w:rPr>
        <w:t xml:space="preserve"> 68(1), 31-44.</w:t>
      </w:r>
    </w:p>
  </w:endnote>
  <w:endnote w:id="7">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Gooch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Vasalou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Benton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cross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sector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Opportunities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challenges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68(2), 378-391. </w:t>
      </w:r>
    </w:p>
  </w:endnote>
  <w:endnote w:id="8">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Archambault</w:t>
      </w:r>
      <w:r>
        <w:rPr>
          <w:rFonts w:hint="default" w:ascii="CMR8" w:hAnsi="CMR8" w:eastAsia="CMR8" w:cs="CMR8"/>
          <w:color w:val="000000"/>
          <w:kern w:val="0"/>
          <w:sz w:val="15"/>
          <w:szCs w:val="15"/>
          <w:lang w:eastAsia="zh-CN" w:bidi="ar"/>
        </w:rPr>
        <w:t xml:space="preserve">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 (2006) </w:t>
      </w:r>
      <w:r>
        <w:rPr>
          <w:rFonts w:hint="default" w:ascii="Times New Roman" w:hAnsi="Times New Roman" w:eastAsia="CMR8" w:cs="CMR8"/>
          <w:color w:val="000000"/>
          <w:kern w:val="0"/>
          <w:sz w:val="15"/>
          <w:szCs w:val="15"/>
          <w:lang w:val="en-US" w:eastAsia="zh-CN" w:bidi="ar"/>
        </w:rPr>
        <w:t>Canadian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comparative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humanities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68(3): 519-533.</w:t>
      </w:r>
    </w:p>
  </w:endnote>
  <w:endnote w:id="9">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Moody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cohesion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1963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1999. </w:t>
      </w:r>
      <w:r>
        <w:rPr>
          <w:rFonts w:hint="default" w:ascii="Times New Roman" w:hAnsi="Times New Roman" w:eastAsia="CMR8" w:cs="CMR8"/>
          <w:color w:val="000000"/>
          <w:kern w:val="0"/>
          <w:sz w:val="15"/>
          <w:szCs w:val="15"/>
          <w:lang w:val="en-US" w:eastAsia="zh-CN" w:bidi="ar"/>
        </w:rPr>
        <w:t>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69(2), 213-238.</w:t>
      </w:r>
    </w:p>
  </w:endnote>
  <w:endnote w:id="1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Schoepflflin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bibliometric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study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literature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w:t>
      </w:r>
      <w:r>
        <w:rPr>
          <w:rFonts w:hint="default" w:ascii="CMR8" w:hAnsi="CMR8" w:eastAsia="CMR8" w:cs="CMR8"/>
          <w:color w:val="000000"/>
          <w:kern w:val="0"/>
          <w:sz w:val="15"/>
          <w:szCs w:val="15"/>
          <w:lang w:val="en-US" w:eastAsia="zh-CN" w:bidi="ar"/>
        </w:rPr>
        <w:t xml:space="preserve"> 35(1): 31-44.</w:t>
      </w:r>
    </w:p>
  </w:endnote>
  <w:endnote w:id="1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Hicks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diffiffifficulty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achieving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full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coverage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literature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bibliometric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consequences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44(2): 193-215. </w:t>
      </w:r>
    </w:p>
  </w:endnote>
  <w:endnote w:id="12">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Sarig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Pfifitzner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Scholtes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Garas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Predicting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success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2014:9.</w:t>
      </w:r>
    </w:p>
  </w:endnote>
  <w:endnote w:id="13">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Barab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asi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Jeong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eda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Ravasz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Vicsek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311: 590-614. </w:t>
      </w:r>
    </w:p>
  </w:endnote>
  <w:endnote w:id="14">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98: 404-409.</w:t>
      </w:r>
    </w:p>
  </w:endnote>
  <w:endnote w:id="15">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patterns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101: 5200-5205.</w:t>
      </w:r>
    </w:p>
  </w:endnote>
  <w:endnote w:id="16">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graph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10: 299-311.</w:t>
      </w:r>
    </w:p>
  </w:endnote>
  <w:endnote w:id="17">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Assortative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mixing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Phys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Lett</w:t>
      </w:r>
      <w:r>
        <w:rPr>
          <w:rFonts w:ascii="CMR8" w:hAnsi="CMR8" w:eastAsia="CMR8" w:cs="CMR8"/>
          <w:color w:val="000000"/>
          <w:kern w:val="0"/>
          <w:sz w:val="15"/>
          <w:szCs w:val="15"/>
          <w:lang w:val="en-US" w:eastAsia="zh-CN" w:bidi="ar"/>
        </w:rPr>
        <w:t xml:space="preserve"> 89: 208701. </w:t>
      </w:r>
    </w:p>
  </w:endnote>
  <w:endnote w:id="18">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Tomasello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Vaccario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driven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cross</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domain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6: 22.</w:t>
      </w:r>
    </w:p>
  </w:endnote>
  <w:endnote w:id="19">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Braun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1980-1999.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58(1), 183-189.</w:t>
      </w:r>
    </w:p>
  </w:endnote>
  <w:endnote w:id="2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2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Roessner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Cohenm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Perreault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metrics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nurture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Eval</w:t>
      </w:r>
      <w:r>
        <w:rPr>
          <w:rFonts w:hint="default" w:ascii="CMR8" w:hAnsi="CMR8" w:eastAsia="CMR8" w:cs="CMR8"/>
          <w:color w:val="000000"/>
          <w:kern w:val="0"/>
          <w:sz w:val="15"/>
          <w:szCs w:val="15"/>
          <w:lang w:val="en-US" w:eastAsia="zh-CN" w:bidi="ar"/>
        </w:rPr>
        <w:t xml:space="preserve"> 15(3), 187-195.</w:t>
      </w:r>
    </w:p>
  </w:endnote>
  <w:endnote w:id="22">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mapping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over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time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81(3), 719-745.</w:t>
      </w:r>
    </w:p>
  </w:endnote>
  <w:endnote w:id="23">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Meyer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bionanoscience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82(2), 263-287. </w:t>
      </w:r>
    </w:p>
  </w:endnote>
  <w:endnote w:id="24">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Abramo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Angelo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Costa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Identifying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classifification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publications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63(11): 2206-2222.</w:t>
      </w:r>
    </w:p>
  </w:endnote>
  <w:endnote w:id="25">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Exploring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evolution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Biochemistry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Molecular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Biology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102(2), 1307-1323.</w:t>
      </w:r>
    </w:p>
    <w:p>
      <w:pPr>
        <w:pStyle w:val="2"/>
        <w:snapToGrid w:val="0"/>
      </w:pPr>
    </w:p>
  </w:endnote>
  <w:endnote w:id="26">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Bordons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Zulueta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Romero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Barrig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within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effffects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multidisciplinary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programme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46(3), 383-398.</w:t>
      </w:r>
    </w:p>
  </w:endnote>
  <w:endnote w:id="27">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Goldstone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RL</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journal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specialty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level</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changing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knowledge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65(1), 164-177.</w:t>
      </w:r>
    </w:p>
  </w:endnote>
  <w:endnote w:id="28">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Taking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similarity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subject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account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67(5), 1257-1265.</w:t>
      </w:r>
    </w:p>
  </w:endnote>
  <w:endnote w:id="29">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Lungeanu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Contractor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NS</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Understanding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assembly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w:t>
      </w:r>
      <w:r>
        <w:rPr>
          <w:rFonts w:hint="default" w:ascii="Times New Roman" w:hAnsi="Times New Roman" w:eastAsia="CMR8" w:cs="CMR8"/>
          <w:color w:val="000000"/>
          <w:kern w:val="0"/>
          <w:sz w:val="15"/>
          <w:szCs w:val="15"/>
          <w:lang w:val="en-US" w:eastAsia="zh-CN" w:bidi="ar"/>
        </w:rPr>
        <w:t>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performance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8(1), 59-70. </w:t>
      </w:r>
    </w:p>
  </w:endnote>
  <w:endnote w:id="3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relationship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w:t>
      </w:r>
      <w:r>
        <w:rPr>
          <w:rFonts w:hint="default" w:ascii="Times New Roman" w:hAnsi="Times New Roman" w:eastAsia="CMR8" w:cs="CMR8"/>
          <w:color w:val="000000"/>
          <w:kern w:val="0"/>
          <w:sz w:val="15"/>
          <w:szCs w:val="15"/>
          <w:lang w:val="en-US" w:eastAsia="zh-CN" w:bidi="ar"/>
        </w:rPr>
        <w:t>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61(1), 126-131.</w:t>
      </w:r>
    </w:p>
  </w:endnote>
  <w:endnote w:id="3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Haustein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orner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Long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distance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leads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higher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10(3),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0122565. </w:t>
      </w:r>
    </w:p>
  </w:endnote>
  <w:endnote w:id="32">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Rinia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Leeuwen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AFJ</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53(2), 241-248.</w:t>
      </w:r>
    </w:p>
  </w:endnote>
  <w:endnote w:id="33">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Wan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Thijs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Distinct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variety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balance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disparity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10(5),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0127298.</w:t>
      </w:r>
    </w:p>
  </w:endnote>
  <w:endnote w:id="34">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most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information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articles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fifirst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citation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patterns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78(1), 45-67. </w:t>
      </w:r>
    </w:p>
  </w:endnote>
  <w:endnote w:id="35">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(2008)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macrolevel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59(12), 1973-1984. </w:t>
      </w:r>
    </w:p>
  </w:endnote>
  <w:endnote w:id="36">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Are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top</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papers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9(4): 1034-1046.</w:t>
      </w:r>
    </w:p>
  </w:endnote>
  <w:endnote w:id="37">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Stirling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analyzing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Interf</w:t>
      </w:r>
      <w:r>
        <w:rPr>
          <w:rFonts w:hint="default" w:ascii="CMR8" w:hAnsi="CMR8" w:eastAsia="CMR8" w:cs="CMR8"/>
          <w:color w:val="000000"/>
          <w:kern w:val="0"/>
          <w:sz w:val="15"/>
          <w:szCs w:val="15"/>
          <w:lang w:val="en-US" w:eastAsia="zh-CN" w:bidi="ar"/>
        </w:rPr>
        <w:t xml:space="preserve"> 4(5), 707-719. </w:t>
      </w:r>
    </w:p>
  </w:endnote>
  <w:endnote w:id="38">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Betweenness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centrality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58(9), 1303-1319.</w:t>
      </w:r>
    </w:p>
  </w:endnote>
  <w:endnote w:id="39">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Besselaar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Heimeriks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July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Concepts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indicators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ISSI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705-716).</w:t>
      </w:r>
    </w:p>
  </w:endnote>
  <w:endnote w:id="4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Kagan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cultures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Natural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humanities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21</w:t>
      </w:r>
      <w:r>
        <w:rPr>
          <w:rFonts w:hint="default" w:ascii="Times New Roman" w:hAnsi="Times New Roman" w:eastAsia="CMR8" w:cs="CMR8"/>
          <w:color w:val="000000"/>
          <w:kern w:val="0"/>
          <w:sz w:val="15"/>
          <w:szCs w:val="15"/>
          <w:lang w:val="en-US" w:eastAsia="zh-CN" w:bidi="ar"/>
        </w:rPr>
        <w:t>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century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Cambridge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2009.</w:t>
      </w:r>
    </w:p>
  </w:endnote>
  <w:endnote w:id="4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Duan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PY</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analysis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applied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mathematics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10(9):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0137424.</w:t>
      </w:r>
    </w:p>
  </w:endnote>
  <w:endnote w:id="42">
    <w:p>
      <w:pPr>
        <w:keepNext w:val="0"/>
        <w:keepLines w:val="0"/>
        <w:widowControl/>
        <w:suppressLineNumbers w:val="0"/>
        <w:jc w:val="left"/>
        <w:rPr>
          <w:rFonts w:hint="default"/>
        </w:rPr>
      </w:pPr>
      <w:r>
        <w:rPr>
          <w:rStyle w:val="8"/>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Accuracy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simple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methods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author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w:t>
      </w:r>
      <w:r>
        <w:rPr>
          <w:rFonts w:hint="default" w:ascii="Times New Roman" w:hAnsi="Times New Roman" w:eastAsia="CMR8" w:cs="CMR8"/>
          <w:color w:val="000000"/>
          <w:kern w:val="0"/>
          <w:sz w:val="15"/>
          <w:szCs w:val="15"/>
          <w:lang w:val="en-US" w:eastAsia="zh-CN" w:bidi="ar"/>
        </w:rPr>
        <w:t>biguation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7(4): 767-773.</w:t>
      </w:r>
    </w:p>
  </w:endnote>
  <w:endnote w:id="43">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Kim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Diesner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Distortive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disambiguation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measurements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large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scale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67(6):1446- 1461. </w:t>
      </w:r>
    </w:p>
  </w:endnote>
  <w:endnote w:id="44">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Beyond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Power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Laws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Preferential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Attachment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61(7): 1410-1423. </w:t>
      </w:r>
    </w:p>
  </w:endnote>
  <w:endnote w:id="45">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(2018) </w:t>
      </w:r>
      <w:r>
        <w:rPr>
          <w:rFonts w:ascii="Times New Roman" w:hAnsi="Times New Roman" w:eastAsia="CMR8" w:cs="CMR8"/>
          <w:color w:val="000000"/>
          <w:kern w:val="0"/>
          <w:sz w:val="15"/>
          <w:szCs w:val="15"/>
          <w:lang w:val="en-US" w:eastAsia="zh-CN" w:bidi="ar"/>
        </w:rPr>
        <w:t>Modelling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transition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phenomena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69(2): 305-317. </w:t>
      </w:r>
    </w:p>
  </w:endnote>
  <w:endnote w:id="46">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Consul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Jain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GC</w:t>
      </w:r>
      <w:r>
        <w:rPr>
          <w:rFonts w:ascii="CMR8" w:hAnsi="CMR8" w:eastAsia="CMR8" w:cs="CMR8"/>
          <w:color w:val="000000"/>
          <w:kern w:val="0"/>
          <w:sz w:val="15"/>
          <w:szCs w:val="15"/>
          <w:lang w:val="en-US" w:eastAsia="zh-CN" w:bidi="ar"/>
        </w:rPr>
        <w:t xml:space="preserve"> (1973)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Poisson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distribution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Technometrics</w:t>
      </w:r>
      <w:r>
        <w:rPr>
          <w:rFonts w:ascii="CMR8" w:hAnsi="CMR8" w:eastAsia="CMR8" w:cs="CMR8"/>
          <w:color w:val="000000"/>
          <w:kern w:val="0"/>
          <w:sz w:val="15"/>
          <w:szCs w:val="15"/>
          <w:lang w:val="en-US" w:eastAsia="zh-CN" w:bidi="ar"/>
        </w:rPr>
        <w:t xml:space="preserve"> </w:t>
      </w:r>
      <w:r>
        <w:rPr>
          <w:rFonts w:hint="default" w:ascii="CMR8" w:hAnsi="CMR8" w:eastAsia="CMR8" w:cs="CMR8"/>
          <w:color w:val="000000"/>
          <w:kern w:val="0"/>
          <w:sz w:val="15"/>
          <w:szCs w:val="15"/>
          <w:lang w:val="en-US" w:eastAsia="zh-CN" w:bidi="ar"/>
        </w:rPr>
        <w:t>15(4): 791-799.</w:t>
      </w:r>
    </w:p>
  </w:endnote>
  <w:endnote w:id="47">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citations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papers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112, 483-507. </w:t>
      </w:r>
    </w:p>
  </w:endnote>
  <w:endnote w:id="48">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49">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Hey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Tansley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Tolle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fourth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paradigm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intensive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w:t>
      </w:r>
      <w:r>
        <w:rPr>
          <w:rFonts w:hint="default" w:ascii="Times New Roman" w:hAnsi="Times New Roman" w:eastAsia="CMR8" w:cs="CMR8"/>
          <w:color w:val="000000"/>
          <w:kern w:val="0"/>
          <w:sz w:val="15"/>
          <w:szCs w:val="15"/>
          <w:lang w:val="en-US" w:eastAsia="zh-CN" w:bidi="ar"/>
        </w:rPr>
        <w:t>covery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Microsoft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Redmond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w:t>
      </w:r>
    </w:p>
  </w:endnote>
  <w:endnote w:id="50">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Haythornthwaite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Learning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w:t>
      </w:r>
      <w:r>
        <w:rPr>
          <w:rFonts w:hint="default" w:ascii="Times New Roman" w:hAnsi="Times New Roman" w:eastAsia="CMR8" w:cs="CMR8"/>
          <w:color w:val="000000"/>
          <w:kern w:val="0"/>
          <w:sz w:val="15"/>
          <w:szCs w:val="15"/>
          <w:lang w:val="en-US" w:eastAsia="zh-CN" w:bidi="ar"/>
        </w:rPr>
        <w:t>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57(8), 1079-1092.</w:t>
      </w:r>
    </w:p>
  </w:endnote>
  <w:endnote w:id="51">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Grauwin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Beslon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Fleury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Franceschelli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Robardet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Rouquier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JB</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Jensen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w:t>
      </w:r>
      <w:r>
        <w:rPr>
          <w:rFonts w:hint="default" w:ascii="CMR8" w:hAnsi="CMR8" w:eastAsia="CMR8" w:cs="CMR8"/>
          <w:color w:val="000000"/>
          <w:kern w:val="0"/>
          <w:sz w:val="15"/>
          <w:szCs w:val="15"/>
          <w:lang w:val="en-US" w:eastAsia="zh-CN" w:bidi="ar"/>
        </w:rPr>
        <w:t xml:space="preserve"> (2012) </w:t>
      </w:r>
      <w:r>
        <w:rPr>
          <w:rFonts w:hint="default" w:ascii="Times New Roman" w:hAnsi="Times New Roman" w:eastAsia="CMR8" w:cs="CMR8"/>
          <w:color w:val="000000"/>
          <w:kern w:val="0"/>
          <w:sz w:val="15"/>
          <w:szCs w:val="15"/>
          <w:lang w:val="en-US" w:eastAsia="zh-CN" w:bidi="ar"/>
        </w:rPr>
        <w:t>Complex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systems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dreams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63(7), 1327-1338.</w:t>
      </w:r>
    </w:p>
  </w:endnote>
  <w:endnote w:id="52">
    <w:p>
      <w:pPr>
        <w:keepNext w:val="0"/>
        <w:keepLines w:val="0"/>
        <w:widowControl/>
        <w:suppressLineNumbers w:val="0"/>
        <w:jc w:val="left"/>
      </w:pPr>
      <w:r>
        <w:rPr>
          <w:rStyle w:val="8"/>
        </w:rPr>
        <w:endnoteRef/>
      </w:r>
      <w:r>
        <w:t xml:space="preserve"> </w:t>
      </w:r>
      <w:r>
        <w:rPr>
          <w:rFonts w:ascii="Times New Roman" w:hAnsi="Times New Roman" w:eastAsia="CMR8" w:cs="CMR8"/>
          <w:color w:val="000000"/>
          <w:kern w:val="0"/>
          <w:sz w:val="15"/>
          <w:szCs w:val="15"/>
          <w:lang w:val="en-US" w:eastAsia="zh-CN" w:bidi="ar"/>
        </w:rPr>
        <w:t>Brier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Cybersemiotics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foundation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w:t>
      </w:r>
      <w:r>
        <w:rPr>
          <w:rFonts w:hint="default" w:ascii="Times New Roman" w:hAnsi="Times New Roman" w:eastAsia="CMR8" w:cs="CMR8"/>
          <w:color w:val="000000"/>
          <w:kern w:val="0"/>
          <w:sz w:val="15"/>
          <w:szCs w:val="15"/>
          <w:lang w:val="en-US" w:eastAsia="zh-CN" w:bidi="ar"/>
        </w:rPr>
        <w:t>mation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meaningful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communication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interaction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culture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Integr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9: 222-263.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MR8">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jc w:val="center"/>
    </w:pPr>
  </w:p>
  <w:p>
    <w:pPr>
      <w:pStyle w:val="3"/>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spacing w:before="48"/>
      <w:ind w:firstLine="360"/>
      <w:rPr>
        <w:rStyle w:val="9"/>
      </w:rPr>
    </w:pPr>
    <w:r>
      <w:rPr>
        <w:rStyle w:val="9"/>
      </w:rPr>
      <w:fldChar w:fldCharType="begin"/>
    </w:r>
    <w:r>
      <w:rPr>
        <w:rStyle w:val="9"/>
      </w:rPr>
      <w:instrText xml:space="preserve">PAGE  </w:instrText>
    </w:r>
    <w:r>
      <w:rPr>
        <w:rStyle w:val="9"/>
      </w:rPr>
      <w:fldChar w:fldCharType="end"/>
    </w:r>
  </w:p>
  <w:p>
    <w:pPr>
      <w:pStyle w:val="3"/>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ascii="Times New Roman" w:hAnsi="Times New Roman"/>
                              <w:lang w:val="en-US" w:eastAsia="zh-CN"/>
                            </w:rPr>
                            <w:t>C</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i4dkMgIAAGEEAAAOAAAAZHJz&#10;L2Uyb0RvYy54bWytVM2O0zAQviPxDpbvNGkRu1X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PWLh2QyAgAAYQQAAA4AAAAAAAAAAQAgAAAA&#10;NQEAAGRycy9lMm9Eb2MueG1sUEsFBgAAAAAGAAYAWQEAANk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ascii="Times New Roman" w:hAnsi="Times New Roman"/>
                        <w:lang w:val="en-US" w:eastAsia="zh-CN"/>
                      </w:rPr>
                      <w:t>C</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48"/>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C2436"/>
    <w:multiLevelType w:val="singleLevel"/>
    <w:tmpl w:val="FECC2436"/>
    <w:lvl w:ilvl="0" w:tentative="0">
      <w:start w:val="1"/>
      <w:numFmt w:val="decimal"/>
      <w:suff w:val="nothing"/>
      <w:lvlText w:val="%1、"/>
      <w:lvlJc w:val="left"/>
    </w:lvl>
  </w:abstractNum>
  <w:abstractNum w:abstractNumId="1">
    <w:nsid w:val="76DBFAAE"/>
    <w:multiLevelType w:val="singleLevel"/>
    <w:tmpl w:val="76DBFAAE"/>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106"/>
    <w:endnote w:id="10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8AF80EF"/>
    <w:rsid w:val="19AC1CED"/>
    <w:rsid w:val="35B7910E"/>
    <w:rsid w:val="5EFBD076"/>
    <w:rsid w:val="7D3544DA"/>
    <w:rsid w:val="7E750F7B"/>
    <w:rsid w:val="A77EB447"/>
    <w:rsid w:val="F8AF80EF"/>
    <w:rsid w:val="FFF6B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endnote text"/>
    <w:basedOn w:val="1"/>
    <w:qFormat/>
    <w:uiPriority w:val="0"/>
    <w:pPr>
      <w:snapToGrid w:val="0"/>
      <w:jc w:val="left"/>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qFormat/>
    <w:uiPriority w:val="99"/>
    <w:pPr>
      <w:pBdr>
        <w:bottom w:val="single" w:color="auto" w:sz="6" w:space="1"/>
      </w:pBdr>
      <w:tabs>
        <w:tab w:val="center" w:pos="4153"/>
        <w:tab w:val="right" w:pos="8306"/>
      </w:tabs>
      <w:snapToGrid w:val="0"/>
      <w:jc w:val="center"/>
    </w:pPr>
    <w:rPr>
      <w:szCs w:val="18"/>
    </w:rPr>
  </w:style>
  <w:style w:type="paragraph" w:styleId="5">
    <w:name w:val="footnote text"/>
    <w:basedOn w:val="1"/>
    <w:qFormat/>
    <w:uiPriority w:val="0"/>
    <w:pPr>
      <w:snapToGrid w:val="0"/>
      <w:jc w:val="left"/>
    </w:pPr>
    <w:rPr>
      <w:sz w:val="18"/>
    </w:rPr>
  </w:style>
  <w:style w:type="character" w:styleId="8">
    <w:name w:val="endnote reference"/>
    <w:basedOn w:val="7"/>
    <w:qFormat/>
    <w:uiPriority w:val="0"/>
    <w:rPr>
      <w:vertAlign w:val="superscript"/>
    </w:rPr>
  </w:style>
  <w:style w:type="character" w:styleId="9">
    <w:name w:val="page number"/>
    <w:basedOn w:val="7"/>
    <w:qFormat/>
    <w:uiPriority w:val="0"/>
  </w:style>
  <w:style w:type="character" w:styleId="10">
    <w:name w:val="footnote reference"/>
    <w:basedOn w:val="7"/>
    <w:qFormat/>
    <w:uiPriority w:val="0"/>
    <w:rPr>
      <w:vertAlign w:val="superscript"/>
    </w:rPr>
  </w:style>
  <w:style w:type="paragraph" w:customStyle="1" w:styleId="11">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endnotes" Target="end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2023-03-15T21:55:00Z</dcterms:created>
  <dc:creator>WPS_1604470737</dc:creator>
  <cp:lastModifiedBy>WPS_1604470737</cp:lastModifiedBy>
  <dcterms:modified xsi:type="dcterms:W3CDTF">2023-05-29T17:09:42Z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A3AAB99B0AE8F560630C1064DB876C23_41</vt:lpwstr>
  </property>
</Properties>
</file>