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大创政策总结：</w:t>
      </w:r>
    </w:p>
    <w:p>
      <w:pPr>
        <w:rPr>
          <w:rFonts w:hint="eastAsia"/>
          <w:lang w:eastAsia="zh-CN"/>
        </w:rPr>
      </w:pPr>
    </w:p>
    <w:p>
      <w:pPr>
        <w:rPr>
          <w:rFonts w:hint="eastAsia"/>
        </w:rPr>
      </w:pPr>
      <w:r>
        <w:rPr>
          <w:rFonts w:hint="eastAsia"/>
        </w:rPr>
        <w:t>互联网医院超半数亏损盈利难</w:t>
      </w:r>
    </w:p>
    <w:p>
      <w:pPr>
        <w:rPr>
          <w:rFonts w:hint="eastAsia"/>
        </w:rPr>
      </w:pPr>
    </w:p>
    <w:p>
      <w:pPr>
        <w:rPr>
          <w:rFonts w:hint="eastAsia"/>
        </w:rPr>
      </w:pPr>
      <w:r>
        <w:rPr>
          <w:rFonts w:hint="eastAsia"/>
        </w:rPr>
        <w:t>目前，互联网医院收费按照一级医院普通门诊收费，收费体系还不明确，面对疑难杂症、急症和大病缺乏专家收费体系。互联网医院无法通过处方赚钱，而服务收入又是忽略不计的，因此互联网医院很难盈利。</w:t>
      </w:r>
    </w:p>
    <w:p>
      <w:pPr>
        <w:rPr>
          <w:rFonts w:hint="eastAsia"/>
        </w:rPr>
      </w:pPr>
    </w:p>
    <w:p>
      <w:pPr>
        <w:rPr>
          <w:rFonts w:hint="eastAsia"/>
        </w:rPr>
      </w:pPr>
      <w:r>
        <w:rPr>
          <w:rFonts w:hint="eastAsia"/>
        </w:rPr>
        <w:t>互联网医院服务内容单一</w:t>
      </w:r>
    </w:p>
    <w:p>
      <w:pPr>
        <w:rPr>
          <w:rFonts w:hint="eastAsia"/>
        </w:rPr>
      </w:pPr>
    </w:p>
    <w:p>
      <w:pPr>
        <w:rPr>
          <w:rFonts w:hint="eastAsia"/>
        </w:rPr>
      </w:pPr>
      <w:r>
        <w:rPr>
          <w:rFonts w:hint="eastAsia"/>
        </w:rPr>
        <w:t>抄方为主的互联网医院模式单一。互联网医院以复诊和常规咨询为主。诊疗范围以慢性病和部分常见病复诊为主，但严禁首诊。这样就导致了部分三甲医院将普通医生作为互联网医院的接诊医生，无法吸引专家团队入驻互联网医院。接诊医生所做的事情就是抄方。这样就陷入了恶性循环，互联网医院成为开药门诊。</w:t>
      </w:r>
    </w:p>
    <w:p>
      <w:pPr>
        <w:rPr>
          <w:rFonts w:hint="eastAsia"/>
        </w:rPr>
      </w:pPr>
    </w:p>
    <w:p>
      <w:pPr>
        <w:rPr>
          <w:rFonts w:hint="eastAsia"/>
        </w:rPr>
      </w:pPr>
      <w:r>
        <w:rPr>
          <w:rFonts w:hint="eastAsia"/>
        </w:rPr>
        <w:t>互联网医院人才匮乏</w:t>
      </w:r>
    </w:p>
    <w:p>
      <w:pPr>
        <w:rPr>
          <w:rFonts w:hint="eastAsia"/>
        </w:rPr>
      </w:pPr>
    </w:p>
    <w:p>
      <w:pPr>
        <w:rPr>
          <w:rFonts w:hint="eastAsia"/>
        </w:rPr>
      </w:pPr>
      <w:r>
        <w:rPr>
          <w:rFonts w:hint="eastAsia"/>
        </w:rPr>
        <w:t>对于非常热门的三甲公立医院而言，专家医生，特别是一些有名的专家对互联网医院缺乏参与热情。</w:t>
      </w:r>
    </w:p>
    <w:p>
      <w:pPr>
        <w:rPr>
          <w:rFonts w:hint="eastAsia"/>
        </w:rPr>
      </w:pPr>
    </w:p>
    <w:p>
      <w:pPr>
        <w:rPr>
          <w:rFonts w:hint="eastAsia"/>
        </w:rPr>
      </w:pPr>
      <w:r>
        <w:rPr>
          <w:rFonts w:hint="eastAsia"/>
        </w:rPr>
        <w:t>互联网医院未覆盖重点就医人群</w:t>
      </w:r>
    </w:p>
    <w:p>
      <w:pPr>
        <w:rPr>
          <w:rFonts w:hint="eastAsia"/>
        </w:rPr>
      </w:pPr>
    </w:p>
    <w:p>
      <w:pPr>
        <w:rPr>
          <w:rFonts w:hint="eastAsia"/>
        </w:rPr>
      </w:pPr>
      <w:r>
        <w:rPr>
          <w:rFonts w:hint="eastAsia"/>
        </w:rPr>
        <w:t>医院的就医人群重点为一老一小。互联网医院反而成了老人就医难题。特别是在智慧医疗下，一些不会使用手机挂号预约、使用互联网就医的老年人群体，面临着互联网时代的就医困境。</w:t>
      </w:r>
    </w:p>
    <w:p>
      <w:pPr>
        <w:rPr>
          <w:rFonts w:hint="eastAsia"/>
        </w:rPr>
      </w:pPr>
    </w:p>
    <w:p>
      <w:pPr>
        <w:rPr>
          <w:rFonts w:hint="eastAsia"/>
        </w:rPr>
      </w:pPr>
      <w:r>
        <w:rPr>
          <w:rFonts w:hint="eastAsia"/>
        </w:rPr>
        <w:t>患者担心个人信息泄露</w:t>
      </w:r>
    </w:p>
    <w:p>
      <w:pPr>
        <w:rPr>
          <w:rFonts w:hint="eastAsia"/>
        </w:rPr>
      </w:pPr>
    </w:p>
    <w:p>
      <w:pPr>
        <w:rPr>
          <w:rFonts w:hint="eastAsia"/>
        </w:rPr>
      </w:pPr>
      <w:r>
        <w:rPr>
          <w:rFonts w:hint="eastAsia"/>
        </w:rPr>
        <w:t>互联网医疗确实给患者提供了便利，但要满足前提条件比较难。不少人还担心，在使用互联网医疗过程中是否会出现个人信息泄露。一旦进入一家互联网医院，首先需要注册，信息填写包括姓名、电话、病史等个人隐私信息。这样一来，便有所顾虑。在信息时代，个人信息很容易被泄露，更何况需要填写的信息还比较隐私。</w:t>
      </w:r>
    </w:p>
    <w:p>
      <w:pPr>
        <w:rPr>
          <w:rFonts w:hint="eastAsia"/>
          <w:lang w:eastAsia="zh-CN"/>
        </w:rPr>
      </w:pPr>
    </w:p>
    <w:p>
      <w:pPr>
        <w:rPr>
          <w:rFonts w:hint="eastAsia"/>
          <w:lang w:eastAsia="zh-CN"/>
        </w:rPr>
      </w:pPr>
      <w:r>
        <w:rPr>
          <w:rFonts w:hint="eastAsia"/>
          <w:lang w:eastAsia="zh-CN"/>
        </w:rPr>
        <w:t xml:space="preserve">    上海十四五规划明确：构建智慧化健康服务体系，提升互联网医院、远程医疗服务能力。</w:t>
      </w:r>
    </w:p>
    <w:p>
      <w:pPr>
        <w:rPr>
          <w:rFonts w:hint="eastAsia"/>
          <w:lang w:eastAsia="zh-CN"/>
        </w:rPr>
      </w:pPr>
      <w:r>
        <w:rPr>
          <w:rFonts w:hint="eastAsia"/>
          <w:lang w:eastAsia="zh-CN"/>
        </w:rPr>
        <w:t>十四五中农工党上海市委建议：形成云端分级诊疗新格局，其中三级医院云端服务定位包括：罕见病、疑难杂症，即服务好本地区医联体的医疗服务，也需面向全国并重点支撑边远医疗资源稀缺地区，并承担长江三角一体化的医疗职责，主动辐射到周边长三角区域。加快互联网数据平台顶层设计，为惠民便医提供精准帮助，互联网平台建设以数据中心和AI算力算力中心为核心，以市级层面大脑、区域中脑、社区小脑为体系，以统一标准规范和安全运维为中心加以推进建设，并出台互联互通和检查检验的体制机制等。</w:t>
      </w:r>
    </w:p>
    <w:p>
      <w:pPr>
        <w:rPr>
          <w:rFonts w:hint="eastAsia"/>
          <w:lang w:eastAsia="zh-CN"/>
        </w:rPr>
      </w:pPr>
    </w:p>
    <w:p>
      <w:pPr>
        <w:rPr>
          <w:rFonts w:hint="eastAsia"/>
        </w:rPr>
      </w:pPr>
      <w:r>
        <w:rPr>
          <w:rFonts w:hint="eastAsia"/>
          <w:lang w:eastAsia="zh-CN"/>
        </w:rPr>
        <w:t xml:space="preserve">    2019年10月1日起，《银川市医疗保险门诊大病互联网医院管理服务办法（试行）》开始实施，今后银川市参保职工和城乡居民符合一定条件，即可在互联网医院实现大病门诊就诊。</w:t>
      </w:r>
      <w:r>
        <w:rPr>
          <w:rFonts w:hint="eastAsia"/>
        </w:rPr>
        <w:t xml:space="preserve">参保人员可以自愿选择线上线下同时医疗，报销限额合并计算，即线上门诊大病实行病种最高支付限额管理，与线下实体医疗机构额度捆绑使用，按照自治区统一发布的门诊大病年度病种最高限额标准执行。参保人员取得多个门诊大病待遇资格的，线上门诊大病最高支付限额折算顺序及年度累计最高限额按照自治区规定执行，线上门诊大病限额为折算后的该病种最高支付限额；报销比例与线下相同，即城镇职工门诊大病起付标准以上、符合基本医疗保险政策的医疗费用，报销比例为 75%。城乡居民医保按照一、二、三档缴费的，起付标准以上的符合基本医疗保险政策范围内的医疗费用，报销比例分别为 50%、60%、65%。参保人员住院期间，互联网医院门诊大病待遇停止享受。同时，相关部门将按照线下门诊大病管理办法对线上门诊大病实施监督管理，确保基金安全。 </w:t>
      </w:r>
    </w:p>
    <w:p>
      <w:pPr>
        <w:rPr>
          <w:rFonts w:hint="eastAsia"/>
          <w:lang w:eastAsia="zh-CN"/>
        </w:rPr>
      </w:pPr>
    </w:p>
    <w:p>
      <w:pPr>
        <w:rPr>
          <w:rFonts w:hint="eastAsia"/>
          <w:lang w:eastAsia="zh-CN"/>
        </w:rPr>
      </w:pPr>
      <w:r>
        <w:rPr>
          <w:rFonts w:hint="eastAsia"/>
          <w:lang w:eastAsia="zh-CN"/>
        </w:rPr>
        <w:t xml:space="preserve">    银川互联网医院医保新政2020年8月1日起实施，政策包括：优化规范互联网医院医保服务，扩大参保人员受益面，降低人流聚集风险和参保群众负担。提高互联网门诊统筹报销标准。职工医保年度最高支付限额从120元调整到300元，每次最高支付从8元调整到30元，报销比例从50%调整到60%；居民医保年度最高支付限额从50元调整到100元，每次最高支付从5元调整到20元，报销比例40%调整到50%。据统计，2020年上半年，银川线上问诊8243人次，送药上门4285人次，线上支付总额92.9万元，医保报销近50.3万元。</w:t>
      </w:r>
    </w:p>
    <w:p>
      <w:pPr>
        <w:rPr>
          <w:rFonts w:hint="eastAsia"/>
          <w:lang w:eastAsia="zh-CN"/>
        </w:rPr>
      </w:pPr>
    </w:p>
    <w:p>
      <w:pPr>
        <w:rPr>
          <w:rFonts w:hint="eastAsia"/>
        </w:rPr>
      </w:pPr>
      <w:r>
        <w:rPr>
          <w:rFonts w:hint="eastAsia"/>
          <w:lang w:eastAsia="zh-CN"/>
        </w:rPr>
        <w:t xml:space="preserve">    </w:t>
      </w:r>
      <w:r>
        <w:rPr>
          <w:rFonts w:hint="eastAsia"/>
        </w:rPr>
        <w:t>8月20日，银川市卫生健康委员会印发了《银川市互联网诊疗服务规范（试行）》</w:t>
      </w:r>
      <w:r>
        <w:rPr>
          <w:rFonts w:hint="eastAsia"/>
          <w:lang w:eastAsia="zh-CN"/>
        </w:rPr>
        <w:t>，规范中指出：</w:t>
      </w:r>
      <w:r>
        <w:rPr>
          <w:rFonts w:hint="eastAsia"/>
        </w:rPr>
        <w:t>互联网医院和医师行为不得用人工智能等技术完全代替医师诊疗</w:t>
      </w:r>
      <w:r>
        <w:rPr>
          <w:rFonts w:hint="eastAsia"/>
          <w:lang w:eastAsia="zh-CN"/>
        </w:rPr>
        <w:t>，</w:t>
      </w:r>
      <w:r>
        <w:rPr>
          <w:rFonts w:hint="eastAsia"/>
        </w:rPr>
        <w:t>规定互联网医院应当通过人脸识别等人体特征识别技术，加强医师管理，确保医师本人接诊。医师在开展互联网诊疗服务时必须对患者进行风险提示，获得患者的知情同意，不得夸大和虚假宣传。在开展互联网诊疗服务中，应利用文字、语音、图像、视频、辅助检查设备等互联网工具，获取足够的信息，以支撑全面分析病情、疾病诊断、开具处方等诊疗行为。不得用人工智能等技术完全代替医师进行问诊、书写病历、开具处方等诊疗行为。不得引导患者至互联网医院以外的、无法被该互联网医院监管的其他交流工具（如微信、QQ、私人电话等）上进行。线上诊疗流程必须和线下保持一致，应遵循先问诊、书写医疗文书，后做出处置意见的流程，如需药物治疗的，开具的处方需经药师审核后，方可进入购药付费、配送环节，严禁先购药后补方。</w:t>
      </w:r>
    </w:p>
    <w:p>
      <w:pPr>
        <w:rPr>
          <w:rFonts w:hint="eastAsia"/>
        </w:rPr>
      </w:pPr>
      <w:r>
        <w:rPr>
          <w:rFonts w:hint="eastAsia"/>
          <w:lang w:eastAsia="zh-CN"/>
        </w:rPr>
        <w:t xml:space="preserve">    此外，</w:t>
      </w:r>
      <w:r>
        <w:rPr>
          <w:rFonts w:hint="eastAsia"/>
        </w:rPr>
        <w:t>严管药事服务不得将医师收入与药品金额挂钩</w:t>
      </w:r>
      <w:r>
        <w:rPr>
          <w:rFonts w:hint="eastAsia"/>
          <w:lang w:eastAsia="zh-CN"/>
        </w:rPr>
        <w:t>。</w:t>
      </w:r>
      <w:r>
        <w:rPr>
          <w:rFonts w:hint="eastAsia"/>
        </w:rPr>
        <w:t>在药事服务方面，《银川市互联网诊疗服务规范（试行）》要求，互联网医院不得通过技术手段生成虚拟问诊过程后以医师名义开具处方。医师不得开具麻醉、精神类及其他有特殊管理规定的药品处方，当医师开具的处方中含有高警示药品时，必须告知患者该药品的用药风险、用法用量和储存条件等。互联网医院不得将医师的任何收入与其所开具处方的药品金额挂钩，不得以药品利润诱导医生的处方行为，不得给医生任何以积分或活动等形式的变相回扣。禁止将线上处方及药品销量信息发送给利益相关的商业主体和经营参与者，禁止针对医师个人的药品销量统计行为。</w:t>
      </w:r>
      <w:bookmarkStart w:id="0" w:name="_GoBack"/>
      <w:bookmarkEnd w:id="0"/>
      <w:r>
        <w:rPr>
          <w:rFonts w:hint="eastAsia"/>
        </w:rPr>
        <w:t>同时，建立药品不良反应和不良事件上报制度，应设置专门管理部门或配备专职人员，并按国家有关规定进行药品不良反应和不良事件上报及处置。</w:t>
      </w:r>
    </w:p>
    <w:p>
      <w:pPr>
        <w:rPr>
          <w:rFonts w:hint="eastAsia"/>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新細明體">
    <w:altName w:val="PMingLiU"/>
    <w:panose1 w:val="02020500000000000000"/>
    <w:charset w:val="86"/>
    <w:family w:val="roman"/>
    <w:pitch w:val="default"/>
    <w:sig w:usb0="A00002FF" w:usb1="28CFFCFA" w:usb2="00000016" w:usb3="00000000" w:csb0="00100001"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E0002AFF" w:usb1="C0007843" w:usb2="00000009" w:usb3="00000000" w:csb0="000001FF" w:csb1="00000000"/>
  </w:font>
  <w:font w:name="Courier New">
    <w:altName w:val="Courier New"/>
    <w:panose1 w:val="02070309020205020404"/>
    <w:charset w:val="00"/>
    <w:family w:val="modern"/>
    <w:pitch w:val="default"/>
    <w:sig w:usb0="E0002AFF" w:usb1="C0007843" w:usb2="00000009" w:usb3="00000000" w:csb0="000001FF" w:csb1="00000000"/>
  </w:font>
  <w:font w:name="細明體">
    <w:altName w:val="MingLiU"/>
    <w:panose1 w:val="02020509000000000000"/>
    <w:charset w:val="00"/>
    <w:family w:val="modern"/>
    <w:pitch w:val="default"/>
    <w:sig w:usb0="A00002FF" w:usb1="28CFFCFA" w:usb2="00000016" w:usb3="00000000" w:csb0="00100001"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新細明體"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2021-07-05T13:19:28Z</dcterms:created>
  <dc:creator>郑郑经天的iPad</dc:creator>
  <cp:lastModifiedBy>郑郑经天的iPad</cp:lastModifiedBy>
  <dcterms:modified xsi:type="dcterms:W3CDTF">2021-07-05T15:38:50Z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vt:lpwstr>
  </property>
  <property fmtid="{D5CDD505-2E9C-101B-9397-08002B2CF9AE}" pid="3" name="ICV">
    <vt:lpwstr>86EC5CFC704FADF66096E2601DFCCEBE</vt:lpwstr>
  </property>
</Properties>
</file>