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航天未来科技组</w:t>
        <w:br/>
        <w:t>OM 2026-2027 长期题1《OMER的购物服务》设计说明书</w:t>
      </w:r>
    </w:p>
    <w:p>
      <w:pPr>
        <w:jc w:val="center"/>
      </w:pPr>
      <w:r>
        <w:t>版本：V1.0（可直接用于队内评审与报名提交前整理）</w:t>
      </w:r>
    </w:p>
    <w:p>
      <w:pPr>
        <w:pStyle w:val="Heading1"/>
      </w:pPr>
      <w:r>
        <w:t>一、项目基本信息</w:t>
      </w:r>
    </w:p>
    <w:p>
      <w:pPr>
        <w:pStyle w:val="ListBullet"/>
      </w:pPr>
      <w:r>
        <w:t>队名：航天未来科技组</w:t>
      </w:r>
    </w:p>
    <w:p>
      <w:pPr>
        <w:pStyle w:val="ListBullet"/>
      </w:pPr>
      <w:r>
        <w:t>题目：长期题1 OMER 的购物服务</w:t>
      </w:r>
    </w:p>
    <w:p>
      <w:pPr>
        <w:pStyle w:val="ListBullet"/>
      </w:pPr>
      <w:r>
        <w:t>比赛时长：8分钟</w:t>
      </w:r>
    </w:p>
    <w:p>
      <w:pPr>
        <w:pStyle w:val="ListBullet"/>
      </w:pPr>
      <w:r>
        <w:t>成本上限：$165（仅计入题目要求成本项）</w:t>
      </w:r>
    </w:p>
    <w:p>
      <w:pPr>
        <w:pStyle w:val="ListBullet"/>
      </w:pPr>
      <w:r>
        <w:t>技术路线：电池电机差速驱动 + 可拆卸购物车 + 定向滑道摩擦阻尼回位</w:t>
      </w:r>
    </w:p>
    <w:p>
      <w:pPr>
        <w:pStyle w:val="Heading1"/>
      </w:pPr>
      <w:r>
        <w:t>二、队伍人员与分工（7人）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人数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</w:tr>
      <w:tr>
        <w:tc>
          <w:tcPr>
            <w:tcW w:type="dxa" w:w="2880"/>
          </w:tcPr>
          <w:p>
            <w:r>
              <w:t>驾驶员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乘车操控方向与速度，保证脚不触地，按路线完成任务</w:t>
            </w:r>
          </w:p>
        </w:tc>
      </w:tr>
      <w:tr>
        <w:tc>
          <w:tcPr>
            <w:tcW w:type="dxa" w:w="2880"/>
          </w:tcPr>
          <w:p>
            <w:r>
              <w:t>购物助理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递交清单、确认替代品、结账前核对订单准确性</w:t>
            </w:r>
          </w:p>
        </w:tc>
      </w:tr>
      <w:tr>
        <w:tc>
          <w:tcPr>
            <w:tcW w:type="dxa" w:w="2880"/>
          </w:tcPr>
          <w:p>
            <w:r>
              <w:t>卸货装置操作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触发自制卸货机构，将3件物品卸入结账区</w:t>
            </w:r>
          </w:p>
        </w:tc>
      </w:tr>
      <w:tr>
        <w:tc>
          <w:tcPr>
            <w:tcW w:type="dxa" w:w="2880"/>
          </w:tcPr>
          <w:p>
            <w:r>
              <w:t>回位机构/场地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监控购物车释放时机，维护滑道与停车区状态</w:t>
            </w:r>
          </w:p>
        </w:tc>
      </w:tr>
      <w:tr>
        <w:tc>
          <w:tcPr>
            <w:tcW w:type="dxa" w:w="2880"/>
          </w:tcPr>
          <w:p>
            <w:r>
              <w:t>解说/配音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叙事推进、评分点提示、收尾信号口令</w:t>
            </w:r>
          </w:p>
        </w:tc>
      </w:tr>
      <w:tr>
        <w:tc>
          <w:tcPr>
            <w:tcW w:type="dxa" w:w="2880"/>
          </w:tcPr>
          <w:p>
            <w:r>
              <w:t>道具与音乐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音效、服装、道具切换、风格项执行</w:t>
            </w:r>
          </w:p>
        </w:tc>
      </w:tr>
      <w:tr>
        <w:tc>
          <w:tcPr>
            <w:tcW w:type="dxa" w:w="2880"/>
          </w:tcPr>
          <w:p>
            <w:r>
              <w:t>队长/机动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统筹节奏、风险处置、时间控制</w:t>
            </w:r>
          </w:p>
        </w:tc>
      </w:tr>
    </w:tbl>
    <w:p>
      <w:pPr>
        <w:pStyle w:val="Heading1"/>
      </w:pPr>
      <w:r>
        <w:t>三、技术方案总览</w:t>
      </w:r>
    </w:p>
    <w:p>
      <w:pPr>
        <w:pStyle w:val="ListNumber"/>
      </w:pPr>
      <w:r>
        <w:t>1) 车辆：原创底盘，双电机差速驱动，电池供电，不外接电源。</w:t>
      </w:r>
    </w:p>
    <w:p>
      <w:pPr>
        <w:pStyle w:val="ListNumber"/>
      </w:pPr>
      <w:r>
        <w:t>2) 购物车：可拆卸，初始与车辆连接；在越过起始线垂直平面后释放。</w:t>
      </w:r>
    </w:p>
    <w:p>
      <w:pPr>
        <w:pStyle w:val="ListNumber"/>
      </w:pPr>
      <w:r>
        <w:t>3) 购物助理：接单、替代品审批、结账前复核三步闭环。</w:t>
      </w:r>
    </w:p>
    <w:p>
      <w:pPr>
        <w:pStyle w:val="ListNumber"/>
      </w:pPr>
      <w:r>
        <w:t>4) 卸货装置：机械拨叉+导槽结构，将3件物品一次或分次卸入结账区。</w:t>
      </w:r>
    </w:p>
    <w:p>
      <w:pPr>
        <w:pStyle w:val="ListNumber"/>
      </w:pPr>
      <w:r>
        <w:t>5) 回位系统：购物车进入定向滑道后依靠重力+摩擦阻尼自行滑回并停入购物车区。</w:t>
      </w:r>
    </w:p>
    <w:p>
      <w:pPr>
        <w:pStyle w:val="Heading1"/>
      </w:pPr>
      <w:r>
        <w:t>四、场地与路线图例</w:t>
      </w:r>
    </w:p>
    <w:p>
      <w:pPr>
        <w:pStyle w:val="ListNumber"/>
      </w:pPr>
      <w:r>
        <w:t>场地核心元素：起始线、购物区域、结账区、购物车区。</w:t>
      </w:r>
    </w:p>
    <w:p>
      <w:pPr>
        <w:pStyle w:val="ListNumber"/>
      </w:pPr>
      <w:r>
        <w:t>关键判据：购物车需在连接状态下随车前进；当购物车越过起始线所在垂直平面后方可释放。</w:t>
      </w:r>
    </w:p>
    <w:p>
      <w:pPr>
        <w:pStyle w:val="ListNumber"/>
      </w:pPr>
      <w:r>
        <w:t>达成条件：购物车停止时至少有一个与地面接触点位于购物车区内。</w:t>
      </w:r>
    </w:p>
    <w:p>
      <w:r>
        <w:drawing>
          <wp:inline xmlns:a="http://schemas.openxmlformats.org/drawingml/2006/main" xmlns:pic="http://schemas.openxmlformats.org/drawingml/2006/picture">
            <wp:extent cx="5943600" cy="52285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MER_场地路线示意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8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场地与路线示意（训练时可按本图做地贴）</w:t>
      </w:r>
    </w:p>
    <w:p>
      <w:pPr>
        <w:pStyle w:val="Heading1"/>
      </w:pPr>
      <w:r>
        <w:t>五、材料准备与预计采购（示例）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物料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  <w:tc>
          <w:tcPr>
            <w:tcW w:type="dxa" w:w="2160"/>
          </w:tcPr>
          <w:p>
            <w:r>
              <w:t>单价(USD)</w:t>
            </w:r>
          </w:p>
        </w:tc>
        <w:tc>
          <w:tcPr>
            <w:tcW w:type="dxa" w:w="2160"/>
          </w:tcPr>
          <w:p>
            <w:r>
              <w:t>小计(USD)</w:t>
            </w:r>
          </w:p>
        </w:tc>
      </w:tr>
      <w:tr>
        <w:tc>
          <w:tcPr>
            <w:tcW w:type="dxa" w:w="2160"/>
          </w:tcPr>
          <w:p>
            <w:r>
              <w:t>TT电机×2</w:t>
            </w:r>
          </w:p>
        </w:tc>
        <w:tc>
          <w:tcPr>
            <w:tcW w:type="dxa" w:w="2160"/>
          </w:tcPr>
          <w:p>
            <w:r>
              <w:t>差速驱动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电机驱动模块</w:t>
            </w:r>
          </w:p>
        </w:tc>
        <w:tc>
          <w:tcPr>
            <w:tcW w:type="dxa" w:w="2160"/>
          </w:tcPr>
          <w:p>
            <w:r>
              <w:t>调速与方向控制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锂电池组+保护板</w:t>
            </w:r>
          </w:p>
        </w:tc>
        <w:tc>
          <w:tcPr>
            <w:tcW w:type="dxa" w:w="2160"/>
          </w:tcPr>
          <w:p>
            <w:r>
              <w:t>车辆供电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车架板材/角码</w:t>
            </w:r>
          </w:p>
        </w:tc>
        <w:tc>
          <w:tcPr>
            <w:tcW w:type="dxa" w:w="2160"/>
          </w:tcPr>
          <w:p>
            <w:r>
              <w:t>底盘与支撑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万向轮/橡胶轮</w:t>
            </w:r>
          </w:p>
        </w:tc>
        <w:tc>
          <w:tcPr>
            <w:tcW w:type="dxa" w:w="2160"/>
          </w:tcPr>
          <w:p>
            <w:r>
              <w:t>行进稳定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可拆购物车材料</w:t>
            </w:r>
          </w:p>
        </w:tc>
        <w:tc>
          <w:tcPr>
            <w:tcW w:type="dxa" w:w="2160"/>
          </w:tcPr>
          <w:p>
            <w:r>
              <w:t>购物车主体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滑道板+导向条</w:t>
            </w:r>
          </w:p>
        </w:tc>
        <w:tc>
          <w:tcPr>
            <w:tcW w:type="dxa" w:w="2160"/>
          </w:tcPr>
          <w:p>
            <w:r>
              <w:t>回位导向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阻尼垫/刹停件</w:t>
            </w:r>
          </w:p>
        </w:tc>
        <w:tc>
          <w:tcPr>
            <w:tcW w:type="dxa" w:w="2160"/>
          </w:tcPr>
          <w:p>
            <w:r>
              <w:t>停车控制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卸货装置材料</w:t>
            </w:r>
          </w:p>
        </w:tc>
        <w:tc>
          <w:tcPr>
            <w:tcW w:type="dxa" w:w="2160"/>
          </w:tcPr>
          <w:p>
            <w:r>
              <w:t>拨叉+导槽机构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  <w:tr>
        <w:tc>
          <w:tcPr>
            <w:tcW w:type="dxa" w:w="2160"/>
          </w:tcPr>
          <w:p>
            <w:r>
              <w:t>服装/道具/音效</w:t>
            </w:r>
          </w:p>
        </w:tc>
        <w:tc>
          <w:tcPr>
            <w:tcW w:type="dxa" w:w="2160"/>
          </w:tcPr>
          <w:p>
            <w:r>
              <w:t>风格表演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28</w:t>
            </w:r>
          </w:p>
        </w:tc>
      </w:tr>
    </w:tbl>
    <w:p>
      <w:r>
        <w:t>预计总计：$147（低于$165上限，预留$18用于维修/耗材）。</w:t>
      </w:r>
    </w:p>
    <w:p>
      <w:pPr>
        <w:pStyle w:val="Heading1"/>
      </w:pPr>
      <w:r>
        <w:t>六、8分钟比赛过程与配音要点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时间段</w:t>
            </w:r>
          </w:p>
        </w:tc>
        <w:tc>
          <w:tcPr>
            <w:tcW w:type="dxa" w:w="2160"/>
          </w:tcPr>
          <w:p>
            <w:r>
              <w:t>动作</w:t>
            </w:r>
          </w:p>
        </w:tc>
        <w:tc>
          <w:tcPr>
            <w:tcW w:type="dxa" w:w="2160"/>
          </w:tcPr>
          <w:p>
            <w:r>
              <w:t>评分关联</w:t>
            </w:r>
          </w:p>
        </w:tc>
        <w:tc>
          <w:tcPr>
            <w:tcW w:type="dxa" w:w="2160"/>
          </w:tcPr>
          <w:p>
            <w:r>
              <w:t>配音建议</w:t>
            </w:r>
          </w:p>
        </w:tc>
      </w:tr>
      <w:tr>
        <w:tc>
          <w:tcPr>
            <w:tcW w:type="dxa" w:w="2160"/>
          </w:tcPr>
          <w:p>
            <w:r>
              <w:t>0:00-0:40</w:t>
            </w:r>
          </w:p>
        </w:tc>
        <w:tc>
          <w:tcPr>
            <w:tcW w:type="dxa" w:w="2160"/>
          </w:tcPr>
          <w:p>
            <w:r>
              <w:t>开场+接单</w:t>
            </w:r>
          </w:p>
        </w:tc>
        <w:tc>
          <w:tcPr>
            <w:tcW w:type="dxa" w:w="2160"/>
          </w:tcPr>
          <w:p>
            <w:r>
              <w:t>购物助理呈现</w:t>
            </w:r>
          </w:p>
        </w:tc>
        <w:tc>
          <w:tcPr>
            <w:tcW w:type="dxa" w:w="2160"/>
          </w:tcPr>
          <w:p>
            <w:r>
              <w:t>“欢迎来到未来购物服务，订单已下达！”</w:t>
            </w:r>
          </w:p>
        </w:tc>
      </w:tr>
      <w:tr>
        <w:tc>
          <w:tcPr>
            <w:tcW w:type="dxa" w:w="2160"/>
          </w:tcPr>
          <w:p>
            <w:r>
              <w:t>0:40-2:00</w:t>
            </w:r>
          </w:p>
        </w:tc>
        <w:tc>
          <w:tcPr>
            <w:tcW w:type="dxa" w:w="2160"/>
          </w:tcPr>
          <w:p>
            <w:r>
              <w:t>进购物区选购第1/2件</w:t>
            </w:r>
          </w:p>
        </w:tc>
        <w:tc>
          <w:tcPr>
            <w:tcW w:type="dxa" w:w="2160"/>
          </w:tcPr>
          <w:p>
            <w:r>
              <w:t>车辆行进+购物清单</w:t>
            </w:r>
          </w:p>
        </w:tc>
        <w:tc>
          <w:tcPr>
            <w:tcW w:type="dxa" w:w="2160"/>
          </w:tcPr>
          <w:p>
            <w:r>
              <w:t>“车辆自主行驶，开始执行采购任务。”</w:t>
            </w:r>
          </w:p>
        </w:tc>
      </w:tr>
      <w:tr>
        <w:tc>
          <w:tcPr>
            <w:tcW w:type="dxa" w:w="2160"/>
          </w:tcPr>
          <w:p>
            <w:r>
              <w:t>2:00-2:40</w:t>
            </w:r>
          </w:p>
        </w:tc>
        <w:tc>
          <w:tcPr>
            <w:tcW w:type="dxa" w:w="2160"/>
          </w:tcPr>
          <w:p>
            <w:r>
              <w:t>缺货触发替代品</w:t>
            </w:r>
          </w:p>
        </w:tc>
        <w:tc>
          <w:tcPr>
            <w:tcW w:type="dxa" w:w="2160"/>
          </w:tcPr>
          <w:p>
            <w:r>
              <w:t>替代品选择得分</w:t>
            </w:r>
          </w:p>
        </w:tc>
        <w:tc>
          <w:tcPr>
            <w:tcW w:type="dxa" w:w="2160"/>
          </w:tcPr>
          <w:p>
            <w:r>
              <w:t>“牛奶缺货，申请豆奶替代，已批准！”</w:t>
            </w:r>
          </w:p>
        </w:tc>
      </w:tr>
      <w:tr>
        <w:tc>
          <w:tcPr>
            <w:tcW w:type="dxa" w:w="2160"/>
          </w:tcPr>
          <w:p>
            <w:r>
              <w:t>2:40-3:30</w:t>
            </w:r>
          </w:p>
        </w:tc>
        <w:tc>
          <w:tcPr>
            <w:tcW w:type="dxa" w:w="2160"/>
          </w:tcPr>
          <w:p>
            <w:r>
              <w:t>携3件物品离开购物区</w:t>
            </w:r>
          </w:p>
        </w:tc>
        <w:tc>
          <w:tcPr>
            <w:tcW w:type="dxa" w:w="2160"/>
          </w:tcPr>
          <w:p>
            <w:r>
              <w:t>购物清单完成</w:t>
            </w:r>
          </w:p>
        </w:tc>
        <w:tc>
          <w:tcPr>
            <w:tcW w:type="dxa" w:w="2160"/>
          </w:tcPr>
          <w:p>
            <w:r>
              <w:t>“三件物品齐备，准备结账。”</w:t>
            </w:r>
          </w:p>
        </w:tc>
      </w:tr>
      <w:tr>
        <w:tc>
          <w:tcPr>
            <w:tcW w:type="dxa" w:w="2160"/>
          </w:tcPr>
          <w:p>
            <w:r>
              <w:t>3:30-4:50</w:t>
            </w:r>
          </w:p>
        </w:tc>
        <w:tc>
          <w:tcPr>
            <w:tcW w:type="dxa" w:w="2160"/>
          </w:tcPr>
          <w:p>
            <w:r>
              <w:t>进入结账区并卸货</w:t>
            </w:r>
          </w:p>
        </w:tc>
        <w:tc>
          <w:tcPr>
            <w:tcW w:type="dxa" w:w="2160"/>
          </w:tcPr>
          <w:p>
            <w:r>
              <w:t>卸货装置得分</w:t>
            </w:r>
          </w:p>
        </w:tc>
        <w:tc>
          <w:tcPr>
            <w:tcW w:type="dxa" w:w="2160"/>
          </w:tcPr>
          <w:p>
            <w:r>
              <w:t>“卸货机构启动，订单物品入账。”</w:t>
            </w:r>
          </w:p>
        </w:tc>
      </w:tr>
      <w:tr>
        <w:tc>
          <w:tcPr>
            <w:tcW w:type="dxa" w:w="2160"/>
          </w:tcPr>
          <w:p>
            <w:r>
              <w:t>4:50-5:40</w:t>
            </w:r>
          </w:p>
        </w:tc>
        <w:tc>
          <w:tcPr>
            <w:tcW w:type="dxa" w:w="2160"/>
          </w:tcPr>
          <w:p>
            <w:r>
              <w:t>继续前进至越过起始线垂直平面</w:t>
            </w:r>
          </w:p>
        </w:tc>
        <w:tc>
          <w:tcPr>
            <w:tcW w:type="dxa" w:w="2160"/>
          </w:tcPr>
          <w:p>
            <w:r>
              <w:t>规则满足关键点</w:t>
            </w:r>
          </w:p>
        </w:tc>
        <w:tc>
          <w:tcPr>
            <w:tcW w:type="dxa" w:w="2160"/>
          </w:tcPr>
          <w:p>
            <w:r>
              <w:t>“请注意，购物车尚在连接状态。”</w:t>
            </w:r>
          </w:p>
        </w:tc>
      </w:tr>
      <w:tr>
        <w:tc>
          <w:tcPr>
            <w:tcW w:type="dxa" w:w="2160"/>
          </w:tcPr>
          <w:p>
            <w:r>
              <w:t>5:40-6:20</w:t>
            </w:r>
          </w:p>
        </w:tc>
        <w:tc>
          <w:tcPr>
            <w:tcW w:type="dxa" w:w="2160"/>
          </w:tcPr>
          <w:p>
            <w:r>
              <w:t>释放购物车</w:t>
            </w:r>
          </w:p>
        </w:tc>
        <w:tc>
          <w:tcPr>
            <w:tcW w:type="dxa" w:w="2160"/>
          </w:tcPr>
          <w:p>
            <w:r>
              <w:t>购物车送回</w:t>
            </w:r>
          </w:p>
        </w:tc>
        <w:tc>
          <w:tcPr>
            <w:tcW w:type="dxa" w:w="2160"/>
          </w:tcPr>
          <w:p>
            <w:r>
              <w:t>“释放！购物车开始自动返场。”</w:t>
            </w:r>
          </w:p>
        </w:tc>
      </w:tr>
      <w:tr>
        <w:tc>
          <w:tcPr>
            <w:tcW w:type="dxa" w:w="2160"/>
          </w:tcPr>
          <w:p>
            <w:r>
              <w:t>6:20-7:40</w:t>
            </w:r>
          </w:p>
        </w:tc>
        <w:tc>
          <w:tcPr>
            <w:tcW w:type="dxa" w:w="2160"/>
          </w:tcPr>
          <w:p>
            <w:r>
              <w:t>购物车滑回并停车</w:t>
            </w:r>
          </w:p>
        </w:tc>
        <w:tc>
          <w:tcPr>
            <w:tcW w:type="dxa" w:w="2160"/>
          </w:tcPr>
          <w:p>
            <w:r>
              <w:t>停车区命中+创意</w:t>
            </w:r>
          </w:p>
        </w:tc>
        <w:tc>
          <w:tcPr>
            <w:tcW w:type="dxa" w:w="2160"/>
          </w:tcPr>
          <w:p>
            <w:r>
              <w:t>“回位完成，停车成功！”</w:t>
            </w:r>
          </w:p>
        </w:tc>
      </w:tr>
    </w:tbl>
    <w:p>
      <w:r>
        <w:t>7:40-8:00：全员定格+完成信号（口令/手势/灯光），确保“时间到”前收尾。</w:t>
      </w:r>
    </w:p>
    <w:p>
      <w:pPr>
        <w:pStyle w:val="Heading1"/>
      </w:pPr>
      <w:r>
        <w:t>七、风格50分设计与风险控制</w:t>
      </w:r>
    </w:p>
    <w:p>
      <w:pPr>
        <w:pStyle w:val="ListBullet"/>
      </w:pPr>
      <w:r>
        <w:t>风格项1（购物清单艺术质量）：使用发光边框订单牌与未来感图标。</w:t>
      </w:r>
    </w:p>
    <w:p>
      <w:pPr>
        <w:pStyle w:val="ListBullet"/>
      </w:pPr>
      <w:r>
        <w:t>风格项2（音乐创意使用）：分段音效（出发/采购/卸货/回位）与节奏点同步。</w:t>
      </w:r>
    </w:p>
    <w:p>
      <w:pPr>
        <w:pStyle w:val="ListBullet"/>
      </w:pPr>
      <w:r>
        <w:t>风格项3（自选1）：太空物流制服与胸牌。</w:t>
      </w:r>
    </w:p>
    <w:p>
      <w:pPr>
        <w:pStyle w:val="ListBullet"/>
      </w:pPr>
      <w:r>
        <w:t>风格项4（自选2）：LED“智慧仓”背景板与可视化进度灯。</w:t>
      </w:r>
    </w:p>
    <w:p>
      <w:pPr>
        <w:pStyle w:val="ListBullet"/>
      </w:pPr>
      <w:r>
        <w:t>风格项5（整体效果）：统一配色、动作节奏清晰、旁白串联评分点。</w:t>
      </w:r>
    </w:p>
    <w:p>
      <w:pPr>
        <w:pStyle w:val="ListBullet"/>
      </w:pPr>
      <w:r>
        <w:t>风险A：车辆跑偏 → 预案：赛前标线校准+低速模式；</w:t>
      </w:r>
    </w:p>
    <w:p>
      <w:pPr>
        <w:pStyle w:val="ListBullet"/>
      </w:pPr>
      <w:r>
        <w:t>风险B：释放失败 → 预案：双保险机械卡扣+人工触发备份（不直接推动）；</w:t>
      </w:r>
    </w:p>
    <w:p>
      <w:pPr>
        <w:pStyle w:val="ListBullet"/>
      </w:pPr>
      <w:r>
        <w:t>风险C：超时 → 预案：每阶段设置最晚完成时间点并留20秒缓冲。</w:t>
      </w:r>
    </w:p>
    <w:p>
      <w:pPr>
        <w:pStyle w:val="Heading1"/>
      </w:pPr>
      <w:r>
        <w:t>八、可替换信息</w:t>
      </w:r>
    </w:p>
    <w:p>
      <w:r>
        <w:t>成员姓名、学校、组别、道具规格可在本稿基础上直接替换，不影响结构与评分逻辑。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