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826FDC">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B8443C" w:rsidP="00B8443C">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Experimental SIP Software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5-26T00:00:00Z">
                    <w:dateFormat w:val="M/d/yyyy"/>
                    <w:lid w:val="en-US"/>
                    <w:storeMappedDataAs w:val="dateTime"/>
                    <w:calendar w:val="gregorian"/>
                  </w:date>
                </w:sdtPr>
                <w:sdtContent>
                  <w:p w:rsidR="00D62ADA" w:rsidRPr="00624E59" w:rsidRDefault="00C974FE">
                    <w:pPr>
                      <w:pStyle w:val="NoSpacing"/>
                      <w:rPr>
                        <w:color w:val="4F81BD" w:themeColor="accent1"/>
                        <w:lang w:val="en-AU"/>
                      </w:rPr>
                    </w:pPr>
                    <w:r w:rsidRPr="00624E59">
                      <w:rPr>
                        <w:color w:val="4F81BD" w:themeColor="accent1"/>
                        <w:lang w:val="en-AU"/>
                      </w:rPr>
                      <w:t>26 May 2009</w:t>
                    </w:r>
                  </w:p>
                </w:sdtContent>
              </w:sdt>
              <w:p w:rsidR="00D62ADA" w:rsidRPr="00624E59" w:rsidRDefault="00D62ADA">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624E59" w:rsidRDefault="00D62ADA">
          <w:pPr>
            <w:pStyle w:val="TOCHeading"/>
            <w:rPr>
              <w:lang w:val="en-AU"/>
            </w:rPr>
          </w:pPr>
          <w:r w:rsidRPr="00624E59">
            <w:rPr>
              <w:lang w:val="en-AU"/>
            </w:rPr>
            <w:t>Contents</w:t>
          </w:r>
        </w:p>
        <w:p w:rsidR="00CC0931" w:rsidRDefault="00151519">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31116718" w:history="1">
            <w:r w:rsidR="00CC0931" w:rsidRPr="00214E10">
              <w:rPr>
                <w:rStyle w:val="Hyperlink"/>
                <w:noProof/>
              </w:rPr>
              <w:t>1.0 Overview</w:t>
            </w:r>
            <w:r w:rsidR="00CC0931">
              <w:rPr>
                <w:noProof/>
                <w:webHidden/>
              </w:rPr>
              <w:tab/>
            </w:r>
            <w:r w:rsidR="00CC0931">
              <w:rPr>
                <w:noProof/>
                <w:webHidden/>
              </w:rPr>
              <w:fldChar w:fldCharType="begin"/>
            </w:r>
            <w:r w:rsidR="00CC0931">
              <w:rPr>
                <w:noProof/>
                <w:webHidden/>
              </w:rPr>
              <w:instrText xml:space="preserve"> PAGEREF _Toc231116718 \h </w:instrText>
            </w:r>
            <w:r w:rsidR="00CC0931">
              <w:rPr>
                <w:noProof/>
                <w:webHidden/>
              </w:rPr>
            </w:r>
            <w:r w:rsidR="00CC0931">
              <w:rPr>
                <w:noProof/>
                <w:webHidden/>
              </w:rPr>
              <w:fldChar w:fldCharType="separate"/>
            </w:r>
            <w:r w:rsidR="00CC0931">
              <w:rPr>
                <w:noProof/>
                <w:webHidden/>
              </w:rPr>
              <w:t>3</w:t>
            </w:r>
            <w:r w:rsidR="00CC0931">
              <w:rPr>
                <w:noProof/>
                <w:webHidden/>
              </w:rPr>
              <w:fldChar w:fldCharType="end"/>
            </w:r>
          </w:hyperlink>
        </w:p>
        <w:p w:rsidR="00CC0931" w:rsidRDefault="00CC0931">
          <w:pPr>
            <w:pStyle w:val="TOC1"/>
            <w:tabs>
              <w:tab w:val="right" w:leader="dot" w:pos="9016"/>
            </w:tabs>
            <w:rPr>
              <w:rFonts w:eastAsiaTheme="minorEastAsia"/>
              <w:noProof/>
              <w:lang w:eastAsia="en-AU"/>
            </w:rPr>
          </w:pPr>
          <w:hyperlink w:anchor="_Toc231116719" w:history="1">
            <w:r w:rsidRPr="00214E10">
              <w:rPr>
                <w:rStyle w:val="Hyperlink"/>
                <w:noProof/>
              </w:rPr>
              <w:t>2.0 General Configuration</w:t>
            </w:r>
            <w:r>
              <w:rPr>
                <w:noProof/>
                <w:webHidden/>
              </w:rPr>
              <w:tab/>
            </w:r>
            <w:r>
              <w:rPr>
                <w:noProof/>
                <w:webHidden/>
              </w:rPr>
              <w:fldChar w:fldCharType="begin"/>
            </w:r>
            <w:r>
              <w:rPr>
                <w:noProof/>
                <w:webHidden/>
              </w:rPr>
              <w:instrText xml:space="preserve"> PAGEREF _Toc231116719 \h </w:instrText>
            </w:r>
            <w:r>
              <w:rPr>
                <w:noProof/>
                <w:webHidden/>
              </w:rPr>
            </w:r>
            <w:r>
              <w:rPr>
                <w:noProof/>
                <w:webHidden/>
              </w:rPr>
              <w:fldChar w:fldCharType="separate"/>
            </w:r>
            <w:r>
              <w:rPr>
                <w:noProof/>
                <w:webHidden/>
              </w:rPr>
              <w:t>3</w:t>
            </w:r>
            <w:r>
              <w:rPr>
                <w:noProof/>
                <w:webHidden/>
              </w:rPr>
              <w:fldChar w:fldCharType="end"/>
            </w:r>
          </w:hyperlink>
        </w:p>
        <w:p w:rsidR="00CC0931" w:rsidRDefault="00CC0931">
          <w:pPr>
            <w:pStyle w:val="TOC1"/>
            <w:tabs>
              <w:tab w:val="right" w:leader="dot" w:pos="9016"/>
            </w:tabs>
            <w:rPr>
              <w:rFonts w:eastAsiaTheme="minorEastAsia"/>
              <w:noProof/>
              <w:lang w:eastAsia="en-AU"/>
            </w:rPr>
          </w:pPr>
          <w:hyperlink w:anchor="_Toc231116720" w:history="1">
            <w:r w:rsidRPr="00214E10">
              <w:rPr>
                <w:rStyle w:val="Hyperlink"/>
                <w:noProof/>
              </w:rPr>
              <w:t>3.0 SIP Server Agent Configurations</w:t>
            </w:r>
            <w:r>
              <w:rPr>
                <w:noProof/>
                <w:webHidden/>
              </w:rPr>
              <w:tab/>
            </w:r>
            <w:r>
              <w:rPr>
                <w:noProof/>
                <w:webHidden/>
              </w:rPr>
              <w:fldChar w:fldCharType="begin"/>
            </w:r>
            <w:r>
              <w:rPr>
                <w:noProof/>
                <w:webHidden/>
              </w:rPr>
              <w:instrText xml:space="preserve"> PAGEREF _Toc231116720 \h </w:instrText>
            </w:r>
            <w:r>
              <w:rPr>
                <w:noProof/>
                <w:webHidden/>
              </w:rPr>
            </w:r>
            <w:r>
              <w:rPr>
                <w:noProof/>
                <w:webHidden/>
              </w:rPr>
              <w:fldChar w:fldCharType="separate"/>
            </w:r>
            <w:r>
              <w:rPr>
                <w:noProof/>
                <w:webHidden/>
              </w:rPr>
              <w:t>4</w:t>
            </w:r>
            <w:r>
              <w:rPr>
                <w:noProof/>
                <w:webHidden/>
              </w:rPr>
              <w:fldChar w:fldCharType="end"/>
            </w:r>
          </w:hyperlink>
        </w:p>
        <w:p w:rsidR="00CC0931" w:rsidRDefault="00CC0931">
          <w:pPr>
            <w:pStyle w:val="TOC2"/>
            <w:tabs>
              <w:tab w:val="right" w:leader="dot" w:pos="9016"/>
            </w:tabs>
            <w:rPr>
              <w:rFonts w:eastAsiaTheme="minorEastAsia"/>
              <w:noProof/>
              <w:lang w:eastAsia="en-AU"/>
            </w:rPr>
          </w:pPr>
          <w:hyperlink w:anchor="_Toc231116721" w:history="1">
            <w:r w:rsidRPr="00214E10">
              <w:rPr>
                <w:rStyle w:val="Hyperlink"/>
                <w:noProof/>
              </w:rPr>
              <w:t>3.1 Application Server</w:t>
            </w:r>
            <w:r>
              <w:rPr>
                <w:noProof/>
                <w:webHidden/>
              </w:rPr>
              <w:tab/>
            </w:r>
            <w:r>
              <w:rPr>
                <w:noProof/>
                <w:webHidden/>
              </w:rPr>
              <w:fldChar w:fldCharType="begin"/>
            </w:r>
            <w:r>
              <w:rPr>
                <w:noProof/>
                <w:webHidden/>
              </w:rPr>
              <w:instrText xml:space="preserve"> PAGEREF _Toc231116721 \h </w:instrText>
            </w:r>
            <w:r>
              <w:rPr>
                <w:noProof/>
                <w:webHidden/>
              </w:rPr>
            </w:r>
            <w:r>
              <w:rPr>
                <w:noProof/>
                <w:webHidden/>
              </w:rPr>
              <w:fldChar w:fldCharType="separate"/>
            </w:r>
            <w:r>
              <w:rPr>
                <w:noProof/>
                <w:webHidden/>
              </w:rPr>
              <w:t>4</w:t>
            </w:r>
            <w:r>
              <w:rPr>
                <w:noProof/>
                <w:webHidden/>
              </w:rPr>
              <w:fldChar w:fldCharType="end"/>
            </w:r>
          </w:hyperlink>
        </w:p>
        <w:p w:rsidR="00CC0931" w:rsidRDefault="00CC0931">
          <w:pPr>
            <w:pStyle w:val="TOC2"/>
            <w:tabs>
              <w:tab w:val="right" w:leader="dot" w:pos="9016"/>
            </w:tabs>
            <w:rPr>
              <w:rFonts w:eastAsiaTheme="minorEastAsia"/>
              <w:noProof/>
              <w:lang w:eastAsia="en-AU"/>
            </w:rPr>
          </w:pPr>
          <w:hyperlink w:anchor="_Toc231116722" w:history="1">
            <w:r w:rsidRPr="00214E10">
              <w:rPr>
                <w:rStyle w:val="Hyperlink"/>
                <w:noProof/>
              </w:rPr>
              <w:t>3.2 Monitor Server</w:t>
            </w:r>
            <w:r>
              <w:rPr>
                <w:noProof/>
                <w:webHidden/>
              </w:rPr>
              <w:tab/>
            </w:r>
            <w:r>
              <w:rPr>
                <w:noProof/>
                <w:webHidden/>
              </w:rPr>
              <w:fldChar w:fldCharType="begin"/>
            </w:r>
            <w:r>
              <w:rPr>
                <w:noProof/>
                <w:webHidden/>
              </w:rPr>
              <w:instrText xml:space="preserve"> PAGEREF _Toc231116722 \h </w:instrText>
            </w:r>
            <w:r>
              <w:rPr>
                <w:noProof/>
                <w:webHidden/>
              </w:rPr>
            </w:r>
            <w:r>
              <w:rPr>
                <w:noProof/>
                <w:webHidden/>
              </w:rPr>
              <w:fldChar w:fldCharType="separate"/>
            </w:r>
            <w:r>
              <w:rPr>
                <w:noProof/>
                <w:webHidden/>
              </w:rPr>
              <w:t>4</w:t>
            </w:r>
            <w:r>
              <w:rPr>
                <w:noProof/>
                <w:webHidden/>
              </w:rPr>
              <w:fldChar w:fldCharType="end"/>
            </w:r>
          </w:hyperlink>
        </w:p>
        <w:p w:rsidR="00CC0931" w:rsidRDefault="00CC0931">
          <w:pPr>
            <w:pStyle w:val="TOC2"/>
            <w:tabs>
              <w:tab w:val="right" w:leader="dot" w:pos="9016"/>
            </w:tabs>
            <w:rPr>
              <w:rFonts w:eastAsiaTheme="minorEastAsia"/>
              <w:noProof/>
              <w:lang w:eastAsia="en-AU"/>
            </w:rPr>
          </w:pPr>
          <w:hyperlink w:anchor="_Toc231116723" w:history="1">
            <w:r w:rsidRPr="00214E10">
              <w:rPr>
                <w:rStyle w:val="Hyperlink"/>
                <w:noProof/>
              </w:rPr>
              <w:t>3.3 Stateless Proxy</w:t>
            </w:r>
            <w:r>
              <w:rPr>
                <w:noProof/>
                <w:webHidden/>
              </w:rPr>
              <w:tab/>
            </w:r>
            <w:r>
              <w:rPr>
                <w:noProof/>
                <w:webHidden/>
              </w:rPr>
              <w:fldChar w:fldCharType="begin"/>
            </w:r>
            <w:r>
              <w:rPr>
                <w:noProof/>
                <w:webHidden/>
              </w:rPr>
              <w:instrText xml:space="preserve"> PAGEREF _Toc231116723 \h </w:instrText>
            </w:r>
            <w:r>
              <w:rPr>
                <w:noProof/>
                <w:webHidden/>
              </w:rPr>
            </w:r>
            <w:r>
              <w:rPr>
                <w:noProof/>
                <w:webHidden/>
              </w:rPr>
              <w:fldChar w:fldCharType="separate"/>
            </w:r>
            <w:r>
              <w:rPr>
                <w:noProof/>
                <w:webHidden/>
              </w:rPr>
              <w:t>5</w:t>
            </w:r>
            <w:r>
              <w:rPr>
                <w:noProof/>
                <w:webHidden/>
              </w:rPr>
              <w:fldChar w:fldCharType="end"/>
            </w:r>
          </w:hyperlink>
        </w:p>
        <w:p w:rsidR="00CC0931" w:rsidRDefault="00CC0931">
          <w:pPr>
            <w:pStyle w:val="TOC2"/>
            <w:tabs>
              <w:tab w:val="right" w:leader="dot" w:pos="9016"/>
            </w:tabs>
            <w:rPr>
              <w:rFonts w:eastAsiaTheme="minorEastAsia"/>
              <w:noProof/>
              <w:lang w:eastAsia="en-AU"/>
            </w:rPr>
          </w:pPr>
          <w:hyperlink w:anchor="_Toc231116724" w:history="1">
            <w:r w:rsidRPr="00214E10">
              <w:rPr>
                <w:rStyle w:val="Hyperlink"/>
                <w:noProof/>
              </w:rPr>
              <w:t>3.4 Registrar</w:t>
            </w:r>
            <w:r>
              <w:rPr>
                <w:noProof/>
                <w:webHidden/>
              </w:rPr>
              <w:tab/>
            </w:r>
            <w:r>
              <w:rPr>
                <w:noProof/>
                <w:webHidden/>
              </w:rPr>
              <w:fldChar w:fldCharType="begin"/>
            </w:r>
            <w:r>
              <w:rPr>
                <w:noProof/>
                <w:webHidden/>
              </w:rPr>
              <w:instrText xml:space="preserve"> PAGEREF _Toc231116724 \h </w:instrText>
            </w:r>
            <w:r>
              <w:rPr>
                <w:noProof/>
                <w:webHidden/>
              </w:rPr>
            </w:r>
            <w:r>
              <w:rPr>
                <w:noProof/>
                <w:webHidden/>
              </w:rPr>
              <w:fldChar w:fldCharType="separate"/>
            </w:r>
            <w:r>
              <w:rPr>
                <w:noProof/>
                <w:webHidden/>
              </w:rPr>
              <w:t>5</w:t>
            </w:r>
            <w:r>
              <w:rPr>
                <w:noProof/>
                <w:webHidden/>
              </w:rPr>
              <w:fldChar w:fldCharType="end"/>
            </w:r>
          </w:hyperlink>
        </w:p>
        <w:p w:rsidR="00CC0931" w:rsidRDefault="00CC0931">
          <w:pPr>
            <w:pStyle w:val="TOC2"/>
            <w:tabs>
              <w:tab w:val="right" w:leader="dot" w:pos="9016"/>
            </w:tabs>
            <w:rPr>
              <w:rFonts w:eastAsiaTheme="minorEastAsia"/>
              <w:noProof/>
              <w:lang w:eastAsia="en-AU"/>
            </w:rPr>
          </w:pPr>
          <w:hyperlink w:anchor="_Toc231116725" w:history="1">
            <w:r w:rsidRPr="00214E10">
              <w:rPr>
                <w:rStyle w:val="Hyperlink"/>
                <w:noProof/>
              </w:rPr>
              <w:t>3.5 Registration Agent</w:t>
            </w:r>
            <w:r>
              <w:rPr>
                <w:noProof/>
                <w:webHidden/>
              </w:rPr>
              <w:tab/>
            </w:r>
            <w:r>
              <w:rPr>
                <w:noProof/>
                <w:webHidden/>
              </w:rPr>
              <w:fldChar w:fldCharType="begin"/>
            </w:r>
            <w:r>
              <w:rPr>
                <w:noProof/>
                <w:webHidden/>
              </w:rPr>
              <w:instrText xml:space="preserve"> PAGEREF _Toc231116725 \h </w:instrText>
            </w:r>
            <w:r>
              <w:rPr>
                <w:noProof/>
                <w:webHidden/>
              </w:rPr>
            </w:r>
            <w:r>
              <w:rPr>
                <w:noProof/>
                <w:webHidden/>
              </w:rPr>
              <w:fldChar w:fldCharType="separate"/>
            </w:r>
            <w:r>
              <w:rPr>
                <w:noProof/>
                <w:webHidden/>
              </w:rPr>
              <w:t>5</w:t>
            </w:r>
            <w:r>
              <w:rPr>
                <w:noProof/>
                <w:webHidden/>
              </w:rPr>
              <w:fldChar w:fldCharType="end"/>
            </w:r>
          </w:hyperlink>
        </w:p>
        <w:p w:rsidR="00D62ADA" w:rsidRPr="00624E59" w:rsidRDefault="00151519">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0" w:name="_Toc231116718"/>
      <w:r w:rsidRPr="00624E59">
        <w:lastRenderedPageBreak/>
        <w:t xml:space="preserve">1.0 </w:t>
      </w:r>
      <w:r w:rsidR="00D62ADA" w:rsidRPr="00624E59">
        <w:t>Overview</w:t>
      </w:r>
      <w:bookmarkEnd w:id="0"/>
    </w:p>
    <w:p w:rsidR="00D62ADA" w:rsidRPr="00624E59" w:rsidRDefault="00D62ADA" w:rsidP="00D62ADA">
      <w:pPr>
        <w:pStyle w:val="NoSpacing"/>
        <w:rPr>
          <w:lang w:val="en-AU"/>
        </w:rPr>
      </w:pPr>
    </w:p>
    <w:p w:rsidR="00516BB4" w:rsidRPr="00624E59" w:rsidRDefault="00CC0931" w:rsidP="008D4518">
      <w:pPr>
        <w:pStyle w:val="NoSpacing"/>
        <w:rPr>
          <w:lang w:val="en-AU"/>
        </w:rPr>
      </w:pPr>
      <w:r>
        <w:rPr>
          <w:lang w:val="en-AU"/>
        </w:rPr>
        <w:t xml:space="preserve">This document details the configuration and settings for the </w:t>
      </w:r>
      <w:proofErr w:type="spellStart"/>
      <w:r>
        <w:rPr>
          <w:lang w:val="en-AU"/>
        </w:rPr>
        <w:t>SIPSo</w:t>
      </w:r>
      <w:r w:rsidR="00BE532D">
        <w:rPr>
          <w:lang w:val="en-AU"/>
        </w:rPr>
        <w:t>rcery</w:t>
      </w:r>
      <w:proofErr w:type="spellEnd"/>
      <w:r w:rsidR="00BE532D">
        <w:rPr>
          <w:lang w:val="en-AU"/>
        </w:rPr>
        <w:t xml:space="preserve"> </w:t>
      </w:r>
      <w:r>
        <w:rPr>
          <w:lang w:val="en-AU"/>
        </w:rPr>
        <w:t>Server Agents.</w:t>
      </w:r>
    </w:p>
    <w:p w:rsidR="008D4518" w:rsidRPr="00624E59" w:rsidRDefault="008D4518" w:rsidP="008D4518">
      <w:pPr>
        <w:pStyle w:val="Heading1"/>
      </w:pPr>
      <w:bookmarkStart w:id="1" w:name="_Toc231116719"/>
      <w:bookmarkStart w:id="2" w:name="_2.0_General_Configuration"/>
      <w:bookmarkEnd w:id="2"/>
      <w:r w:rsidRPr="00624E59">
        <w:t>2.0 General Configuration</w:t>
      </w:r>
      <w:bookmarkEnd w:id="1"/>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624E59">
        <w:rPr>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7"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
        <w:tblW w:w="0" w:type="auto"/>
        <w:jc w:val="center"/>
        <w:tblLook w:val="04A0"/>
      </w:tblPr>
      <w:tblGrid>
        <w:gridCol w:w="2857"/>
        <w:gridCol w:w="6385"/>
      </w:tblGrid>
      <w:tr w:rsidR="002A0197" w:rsidRPr="00624E59" w:rsidTr="009A630D">
        <w:trPr>
          <w:cnfStyle w:val="100000000000"/>
          <w:jc w:val="center"/>
        </w:trPr>
        <w:tc>
          <w:tcPr>
            <w:cnfStyle w:val="001000000000"/>
            <w:tcW w:w="0" w:type="auto"/>
          </w:tcPr>
          <w:p w:rsidR="002A0197" w:rsidRPr="00624E59" w:rsidRDefault="002A0197" w:rsidP="009A630D">
            <w:pPr>
              <w:pStyle w:val="NoSpacing"/>
              <w:rPr>
                <w:lang w:val="en-AU"/>
              </w:rPr>
            </w:pPr>
            <w:r w:rsidRPr="00624E59">
              <w:rPr>
                <w:lang w:val="en-AU"/>
              </w:rPr>
              <w:t>Setting</w:t>
            </w:r>
          </w:p>
        </w:tc>
        <w:tc>
          <w:tcPr>
            <w:tcW w:w="0" w:type="auto"/>
          </w:tcPr>
          <w:p w:rsidR="002A0197" w:rsidRPr="00624E59" w:rsidRDefault="0081271B" w:rsidP="009A630D">
            <w:pPr>
              <w:pStyle w:val="NoSpacing"/>
              <w:cnfStyle w:val="100000000000"/>
              <w:rPr>
                <w:lang w:val="en-AU"/>
              </w:rPr>
            </w:pPr>
            <w:r>
              <w:rPr>
                <w:lang w:val="en-AU"/>
              </w:rPr>
              <w:t>Description</w:t>
            </w:r>
          </w:p>
        </w:tc>
      </w:tr>
      <w:tr w:rsidR="002A0197" w:rsidRPr="00624E59" w:rsidTr="009A630D">
        <w:trPr>
          <w:cnfStyle w:val="000000100000"/>
          <w:jc w:val="center"/>
        </w:trPr>
        <w:tc>
          <w:tcPr>
            <w:cnfStyle w:val="001000000000"/>
            <w:tcW w:w="0" w:type="auto"/>
          </w:tcPr>
          <w:p w:rsidR="002A0197" w:rsidRPr="00624E59" w:rsidRDefault="002A0197" w:rsidP="009A630D">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2A0197">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2A0197" w:rsidRPr="00624E59">
              <w:rPr>
                <w:rFonts w:ascii="Courier New" w:hAnsi="Courier New" w:cs="Courier New"/>
                <w:noProof/>
                <w:color w:val="A31515"/>
                <w:sz w:val="20"/>
                <w:szCs w:val="20"/>
                <w:lang w:val="en-AU"/>
              </w:rPr>
              <w:t>XML|DBLinqPostgresql|DBLinqMySQL</w:t>
            </w:r>
            <w:r>
              <w:rPr>
                <w:rFonts w:ascii="Courier New" w:hAnsi="Courier New" w:cs="Courier New"/>
                <w:noProof/>
                <w:color w:val="A31515"/>
                <w:sz w:val="20"/>
                <w:szCs w:val="20"/>
                <w:lang w:val="en-AU"/>
              </w:rPr>
              <w:t xml:space="preserve"> which inidicate XML file based storage, a Postgresql database or MySQL database respectively.</w:t>
            </w:r>
          </w:p>
        </w:tc>
      </w:tr>
      <w:tr w:rsidR="002A0197" w:rsidRPr="00624E59" w:rsidTr="009A630D">
        <w:trPr>
          <w:jc w:val="center"/>
        </w:trPr>
        <w:tc>
          <w:tcPr>
            <w:cnfStyle w:val="001000000000"/>
            <w:tcW w:w="0" w:type="auto"/>
          </w:tcPr>
          <w:p w:rsidR="002A0197" w:rsidRPr="00624E59" w:rsidRDefault="002A0197" w:rsidP="009A630D">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9A630D">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8"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lastRenderedPageBreak/>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t xml:space="preserve">The use of the * character indicates that all local IPv4 addresses should be utilised </w:t>
      </w:r>
      <w:r>
        <w:rPr>
          <w:lang w:val="en-AU"/>
        </w:rPr>
        <w:t>by the SIP transport layer and will be listened on for SIP traffic.</w:t>
      </w:r>
    </w:p>
    <w:p w:rsidR="008D4518" w:rsidRPr="00624E59" w:rsidRDefault="008D4518" w:rsidP="008D4518">
      <w:pPr>
        <w:pStyle w:val="Heading1"/>
      </w:pPr>
      <w:bookmarkStart w:id="3" w:name="_Toc231116720"/>
      <w:r w:rsidRPr="00624E59">
        <w:t>3</w:t>
      </w:r>
      <w:r w:rsidR="00F663CA" w:rsidRPr="00624E59">
        <w:t xml:space="preserve">.0 </w:t>
      </w:r>
      <w:r w:rsidR="0012519B" w:rsidRPr="00624E59">
        <w:t>SIP S</w:t>
      </w:r>
      <w:r w:rsidR="00091AA6" w:rsidRPr="00624E59">
        <w:t>erver</w:t>
      </w:r>
      <w:r w:rsidR="0012519B" w:rsidRPr="00624E59">
        <w:t xml:space="preserve"> Agent</w:t>
      </w:r>
      <w:r w:rsidRPr="00624E59">
        <w:t xml:space="preserve"> Configurations</w:t>
      </w:r>
      <w:bookmarkEnd w:id="3"/>
    </w:p>
    <w:p w:rsidR="0012519B" w:rsidRPr="00624E59" w:rsidRDefault="008D4518" w:rsidP="0012519B">
      <w:pPr>
        <w:pStyle w:val="Heading2"/>
      </w:pPr>
      <w:bookmarkStart w:id="4" w:name="_Toc231116721"/>
      <w:r w:rsidRPr="00624E59">
        <w:t>3</w:t>
      </w:r>
      <w:r w:rsidR="00F663CA" w:rsidRPr="00624E59">
        <w:t xml:space="preserve">.1 </w:t>
      </w:r>
      <w:r w:rsidR="0012519B" w:rsidRPr="00624E59">
        <w:t>Application Server</w:t>
      </w:r>
      <w:bookmarkEnd w:id="4"/>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
        <w:tblW w:w="0" w:type="auto"/>
        <w:jc w:val="center"/>
        <w:tblLook w:val="04A0"/>
      </w:tblPr>
      <w:tblGrid>
        <w:gridCol w:w="2617"/>
        <w:gridCol w:w="6625"/>
      </w:tblGrid>
      <w:tr w:rsidR="0081271B" w:rsidRPr="00624E59" w:rsidTr="009A630D">
        <w:trPr>
          <w:cnfStyle w:val="100000000000"/>
          <w:jc w:val="center"/>
        </w:trPr>
        <w:tc>
          <w:tcPr>
            <w:cnfStyle w:val="001000000000"/>
            <w:tcW w:w="0" w:type="auto"/>
          </w:tcPr>
          <w:p w:rsidR="0081271B" w:rsidRPr="00624E59" w:rsidRDefault="0081271B" w:rsidP="009A630D">
            <w:pPr>
              <w:pStyle w:val="NoSpacing"/>
              <w:rPr>
                <w:lang w:val="en-AU"/>
              </w:rPr>
            </w:pPr>
            <w:r w:rsidRPr="00624E59">
              <w:rPr>
                <w:lang w:val="en-AU"/>
              </w:rPr>
              <w:t>Setting</w:t>
            </w:r>
          </w:p>
        </w:tc>
        <w:tc>
          <w:tcPr>
            <w:tcW w:w="0" w:type="auto"/>
          </w:tcPr>
          <w:p w:rsidR="0081271B" w:rsidRPr="00624E59" w:rsidRDefault="0081271B" w:rsidP="009A630D">
            <w:pPr>
              <w:pStyle w:val="NoSpacing"/>
              <w:cnfStyle w:val="100000000000"/>
              <w:rPr>
                <w:lang w:val="en-AU"/>
              </w:rPr>
            </w:pPr>
            <w:r>
              <w:rPr>
                <w:lang w:val="en-AU"/>
              </w:rPr>
              <w:t>Description</w:t>
            </w:r>
          </w:p>
        </w:tc>
      </w:tr>
      <w:tr w:rsidR="0081271B" w:rsidRPr="00624E59" w:rsidTr="009A630D">
        <w:trPr>
          <w:cnfStyle w:val="000000100000"/>
          <w:jc w:val="center"/>
        </w:trPr>
        <w:tc>
          <w:tcPr>
            <w:cnfStyle w:val="001000000000"/>
            <w:tcW w:w="0" w:type="auto"/>
          </w:tcPr>
          <w:p w:rsidR="0081271B" w:rsidRPr="00624E59" w:rsidRDefault="0081271B" w:rsidP="009A630D">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9A630D">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9A630D">
        <w:trPr>
          <w:jc w:val="center"/>
        </w:trPr>
        <w:tc>
          <w:tcPr>
            <w:cnfStyle w:val="001000000000"/>
            <w:tcW w:w="0" w:type="auto"/>
          </w:tcPr>
          <w:p w:rsidR="0081271B" w:rsidRPr="00624E59" w:rsidRDefault="0081271B" w:rsidP="009A630D">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9A630D">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t>c:\temp\sipsorcery\traces\</w:t>
            </w:r>
            <w:r>
              <w:rPr>
                <w:lang w:val="en-AU"/>
              </w:rPr>
              <w:t>.</w:t>
            </w:r>
          </w:p>
        </w:tc>
      </w:tr>
      <w:tr w:rsidR="0081271B" w:rsidRPr="00624E59" w:rsidTr="009A630D">
        <w:trPr>
          <w:cnfStyle w:val="000000100000"/>
          <w:jc w:val="center"/>
        </w:trPr>
        <w:tc>
          <w:tcPr>
            <w:cnfStyle w:val="001000000000"/>
            <w:tcW w:w="0" w:type="auto"/>
          </w:tcPr>
          <w:p w:rsidR="0081271B" w:rsidRDefault="0081271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RubyScriptCommonPath</w:t>
            </w:r>
          </w:p>
        </w:tc>
        <w:tc>
          <w:tcPr>
            <w:tcW w:w="0" w:type="auto"/>
          </w:tcPr>
          <w:p w:rsidR="0081271B" w:rsidRPr="00624E59" w:rsidRDefault="004C1B2F" w:rsidP="009A630D">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9A630D">
        <w:trPr>
          <w:jc w:val="center"/>
        </w:trPr>
        <w:tc>
          <w:tcPr>
            <w:cnfStyle w:val="001000000000"/>
            <w:tcW w:w="0" w:type="auto"/>
          </w:tcPr>
          <w:p w:rsidR="0081271B" w:rsidRDefault="0081271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9A630D">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9A630D">
        <w:trPr>
          <w:cnfStyle w:val="000000100000"/>
          <w:jc w:val="center"/>
        </w:trPr>
        <w:tc>
          <w:tcPr>
            <w:cnfStyle w:val="001000000000"/>
            <w:tcW w:w="0" w:type="auto"/>
          </w:tcPr>
          <w:p w:rsidR="0081271B" w:rsidRDefault="0081271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WebServiceEnabled</w:t>
            </w:r>
          </w:p>
        </w:tc>
        <w:tc>
          <w:tcPr>
            <w:tcW w:w="0" w:type="auto"/>
          </w:tcPr>
          <w:p w:rsidR="0081271B" w:rsidRPr="00624E59" w:rsidRDefault="004C1B2F" w:rsidP="009A630D">
            <w:pPr>
              <w:pStyle w:val="NoSpacing"/>
              <w:cnfStyle w:val="000000100000"/>
              <w:rPr>
                <w:lang w:val="en-AU"/>
              </w:rPr>
            </w:pPr>
            <w:r>
              <w:rPr>
                <w:lang w:val="en-AU"/>
              </w:rPr>
              <w:t>Whether or not the web service end points should be enabled. Example: True. Omitting the setting or leaving it blank will disable the web services.</w:t>
            </w:r>
          </w:p>
        </w:tc>
      </w:tr>
      <w:tr w:rsidR="0081271B" w:rsidRPr="00624E59" w:rsidTr="009A630D">
        <w:trPr>
          <w:jc w:val="center"/>
        </w:trPr>
        <w:tc>
          <w:tcPr>
            <w:cnfStyle w:val="001000000000"/>
            <w:tcW w:w="0" w:type="auto"/>
          </w:tcPr>
          <w:p w:rsidR="0081271B" w:rsidRDefault="0081271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9A630D">
            <w:pPr>
              <w:pStyle w:val="NoSpacing"/>
              <w:cnfStyle w:val="0000000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9"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are hard coded to look for the web service end point on a particular socket.</w:t>
      </w:r>
    </w:p>
    <w:p w:rsidR="00554FC6" w:rsidRPr="00624E59" w:rsidRDefault="00554FC6" w:rsidP="00554FC6">
      <w:pPr>
        <w:pStyle w:val="NoSpacing"/>
        <w:rPr>
          <w:lang w:val="en-AU"/>
        </w:rPr>
      </w:pPr>
    </w:p>
    <w:p w:rsidR="0012519B" w:rsidRPr="00624E59" w:rsidRDefault="008D4518" w:rsidP="0012519B">
      <w:pPr>
        <w:pStyle w:val="Heading2"/>
      </w:pPr>
      <w:bookmarkStart w:id="5" w:name="_Toc231116722"/>
      <w:r w:rsidRPr="00624E59">
        <w:t>3</w:t>
      </w:r>
      <w:r w:rsidR="00F663CA" w:rsidRPr="00624E59">
        <w:t xml:space="preserve">.2 </w:t>
      </w:r>
      <w:r w:rsidR="0012519B" w:rsidRPr="00624E59">
        <w:t>Monitor Server</w:t>
      </w:r>
      <w:bookmarkEnd w:id="5"/>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
        <w:tblW w:w="0" w:type="auto"/>
        <w:jc w:val="center"/>
        <w:tblLook w:val="04A0"/>
      </w:tblPr>
      <w:tblGrid>
        <w:gridCol w:w="3217"/>
        <w:gridCol w:w="6025"/>
      </w:tblGrid>
      <w:tr w:rsidR="00471102" w:rsidRPr="00624E59" w:rsidTr="009A630D">
        <w:trPr>
          <w:cnfStyle w:val="100000000000"/>
          <w:jc w:val="center"/>
        </w:trPr>
        <w:tc>
          <w:tcPr>
            <w:cnfStyle w:val="001000000000"/>
            <w:tcW w:w="0" w:type="auto"/>
          </w:tcPr>
          <w:p w:rsidR="00471102" w:rsidRPr="00624E59" w:rsidRDefault="00471102" w:rsidP="009A630D">
            <w:pPr>
              <w:pStyle w:val="NoSpacing"/>
              <w:rPr>
                <w:lang w:val="en-AU"/>
              </w:rPr>
            </w:pPr>
            <w:r w:rsidRPr="00624E59">
              <w:rPr>
                <w:lang w:val="en-AU"/>
              </w:rPr>
              <w:t>Setting</w:t>
            </w:r>
          </w:p>
        </w:tc>
        <w:tc>
          <w:tcPr>
            <w:tcW w:w="0" w:type="auto"/>
          </w:tcPr>
          <w:p w:rsidR="00471102" w:rsidRPr="00624E59" w:rsidRDefault="00471102" w:rsidP="009A630D">
            <w:pPr>
              <w:pStyle w:val="NoSpacing"/>
              <w:cnfStyle w:val="100000000000"/>
              <w:rPr>
                <w:lang w:val="en-AU"/>
              </w:rPr>
            </w:pPr>
            <w:r>
              <w:rPr>
                <w:lang w:val="en-AU"/>
              </w:rPr>
              <w:t>Description</w:t>
            </w:r>
          </w:p>
        </w:tc>
      </w:tr>
      <w:tr w:rsidR="00471102" w:rsidRPr="00624E59" w:rsidTr="009A630D">
        <w:trPr>
          <w:cnfStyle w:val="000000100000"/>
          <w:jc w:val="center"/>
        </w:trPr>
        <w:tc>
          <w:tcPr>
            <w:cnfStyle w:val="001000000000"/>
            <w:tcW w:w="0" w:type="auto"/>
          </w:tcPr>
          <w:p w:rsidR="00471102" w:rsidRPr="00624E59" w:rsidRDefault="00471102" w:rsidP="009A630D">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9A630D">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471102" w:rsidRPr="00624E59" w:rsidTr="009A630D">
        <w:trPr>
          <w:jc w:val="center"/>
        </w:trPr>
        <w:tc>
          <w:tcPr>
            <w:cnfStyle w:val="001000000000"/>
            <w:tcW w:w="0" w:type="auto"/>
          </w:tcPr>
          <w:p w:rsidR="00471102" w:rsidRDefault="00471102"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SilverlightPolicyFilePath</w:t>
            </w:r>
          </w:p>
        </w:tc>
        <w:tc>
          <w:tcPr>
            <w:tcW w:w="0" w:type="auto"/>
          </w:tcPr>
          <w:p w:rsidR="00471102" w:rsidRPr="00624E59" w:rsidRDefault="00471102" w:rsidP="009A630D">
            <w:pPr>
              <w:pStyle w:val="NoSpacing"/>
              <w:cnfStyle w:val="000000000000"/>
              <w:rPr>
                <w:lang w:val="en-AU"/>
              </w:rPr>
            </w:pPr>
            <w:r>
              <w:rPr>
                <w:lang w:val="en-AU"/>
              </w:rPr>
              <w:t xml:space="preserve">Example: </w:t>
            </w:r>
            <w:r>
              <w:rPr>
                <w:rFonts w:ascii="Courier New" w:hAnsi="Courier New" w:cs="Courier New"/>
                <w:noProof/>
                <w:color w:val="0000FF"/>
                <w:sz w:val="20"/>
                <w:szCs w:val="20"/>
              </w:rPr>
              <w:t>silverlight-policy.xml</w:t>
            </w:r>
            <w:r>
              <w:rPr>
                <w:lang w:val="en-AU"/>
              </w:rPr>
              <w:t>.</w:t>
            </w:r>
          </w:p>
        </w:tc>
      </w:tr>
      <w:tr w:rsidR="00471102" w:rsidRPr="00624E59" w:rsidTr="009A630D">
        <w:trPr>
          <w:cnfStyle w:val="000000100000"/>
          <w:jc w:val="center"/>
        </w:trPr>
        <w:tc>
          <w:tcPr>
            <w:cnfStyle w:val="001000000000"/>
            <w:tcW w:w="0" w:type="auto"/>
          </w:tcPr>
          <w:p w:rsidR="00471102" w:rsidRDefault="00471102"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sipmonitorclientsockets</w:t>
            </w:r>
          </w:p>
        </w:tc>
        <w:tc>
          <w:tcPr>
            <w:tcW w:w="0" w:type="auto"/>
          </w:tcPr>
          <w:p w:rsidR="00471102" w:rsidRPr="00624E59" w:rsidRDefault="00ED6D84" w:rsidP="00ED6D84">
            <w:pPr>
              <w:pStyle w:val="NoSpacing"/>
              <w:cnfStyle w:val="000000100000"/>
              <w:rPr>
                <w:lang w:val="en-AU"/>
              </w:rPr>
            </w:pPr>
            <w:r>
              <w:rPr>
                <w:lang w:val="en-AU"/>
              </w:rPr>
              <w:t>The XML configuration node that controls which sockets the Monitor Server will listen on for connections from human clients. An example node is shown below.</w:t>
            </w:r>
          </w:p>
        </w:tc>
      </w:tr>
      <w:tr w:rsidR="00471102" w:rsidRPr="00624E59" w:rsidTr="009A630D">
        <w:trPr>
          <w:jc w:val="center"/>
        </w:trPr>
        <w:tc>
          <w:tcPr>
            <w:cnfStyle w:val="001000000000"/>
            <w:tcW w:w="0" w:type="auto"/>
          </w:tcPr>
          <w:p w:rsidR="00471102" w:rsidRDefault="00471102"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sipmonitormachinesockets</w:t>
            </w:r>
          </w:p>
        </w:tc>
        <w:tc>
          <w:tcPr>
            <w:tcW w:w="0" w:type="auto"/>
          </w:tcPr>
          <w:p w:rsidR="00471102" w:rsidRPr="00624E59" w:rsidRDefault="00ED6D84" w:rsidP="009A630D">
            <w:pPr>
              <w:pStyle w:val="NoSpacing"/>
              <w:cnfStyle w:val="000000000000"/>
              <w:rPr>
                <w:lang w:val="en-AU"/>
              </w:rPr>
            </w:pPr>
            <w:r>
              <w:rPr>
                <w:lang w:val="en-AU"/>
              </w:rPr>
              <w:t>The XML configuration node that controls which sockets the Monitor Server will listen on for connections from software processes that want to be notified of certain events from Server agents. An example node is shown below.</w:t>
            </w:r>
          </w:p>
        </w:tc>
      </w:tr>
    </w:tbl>
    <w:p w:rsidR="00471102" w:rsidRDefault="00471102" w:rsidP="0012519B">
      <w:pPr>
        <w:pStyle w:val="NoSpacing"/>
        <w:rPr>
          <w:lang w:val="en-AU"/>
        </w:rPr>
      </w:pPr>
    </w:p>
    <w:p w:rsidR="00F41D52" w:rsidRDefault="00F41D52" w:rsidP="0012519B">
      <w:pPr>
        <w:pStyle w:val="NoSpacing"/>
        <w:rPr>
          <w:lang w:val="en-AU"/>
        </w:rPr>
      </w:pPr>
      <w:r>
        <w:rPr>
          <w:lang w:val="en-AU"/>
        </w:rPr>
        <w:t>The XML configuration nodes below show an example of how to configure the sockets the Monitor Server will listen on for human and machine connections. An IP address value of * indicates that all local IPv4 addresses should be listened on.</w:t>
      </w:r>
    </w:p>
    <w:p w:rsidR="00F41D52" w:rsidRDefault="00F41D52" w:rsidP="0012519B">
      <w:pPr>
        <w:pStyle w:val="NoSpacing"/>
        <w:rPr>
          <w:lang w:val="en-AU"/>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sidR="00F41D52">
        <w:rPr>
          <w:rFonts w:ascii="Courier New" w:hAnsi="Courier New" w:cs="Courier New"/>
          <w:noProof/>
          <w:sz w:val="20"/>
          <w:szCs w:val="20"/>
        </w:rPr>
        <w:t>10.0.0.1</w:t>
      </w:r>
      <w:r>
        <w:rPr>
          <w:rFonts w:ascii="Courier New" w:hAnsi="Courier New" w:cs="Courier New"/>
          <w:noProof/>
          <w:sz w:val="20"/>
          <w:szCs w:val="20"/>
        </w:rPr>
        <w:t>:11001</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*:4502</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*:4503</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F41D52" w:rsidRPr="00624E59" w:rsidRDefault="00F41D52" w:rsidP="002B6814">
      <w:pPr>
        <w:pStyle w:val="NoSpacing"/>
        <w:rPr>
          <w:lang w:val="en-AU"/>
        </w:rPr>
      </w:pPr>
    </w:p>
    <w:p w:rsidR="0012519B" w:rsidRPr="00624E59" w:rsidRDefault="008D4518" w:rsidP="0012519B">
      <w:pPr>
        <w:pStyle w:val="Heading2"/>
      </w:pPr>
      <w:bookmarkStart w:id="6" w:name="_Toc231116723"/>
      <w:r w:rsidRPr="00624E59">
        <w:t>3</w:t>
      </w:r>
      <w:r w:rsidR="00F663CA" w:rsidRPr="00624E59">
        <w:t xml:space="preserve">.3 Stateless </w:t>
      </w:r>
      <w:r w:rsidR="0012519B" w:rsidRPr="00624E59">
        <w:t>Proxy</w:t>
      </w:r>
      <w:bookmarkEnd w:id="6"/>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
        <w:tblW w:w="0" w:type="auto"/>
        <w:jc w:val="center"/>
        <w:tblLook w:val="04A0"/>
      </w:tblPr>
      <w:tblGrid>
        <w:gridCol w:w="2497"/>
        <w:gridCol w:w="6745"/>
      </w:tblGrid>
      <w:tr w:rsidR="00CC6894" w:rsidRPr="00624E59" w:rsidTr="009A630D">
        <w:trPr>
          <w:cnfStyle w:val="100000000000"/>
          <w:jc w:val="center"/>
        </w:trPr>
        <w:tc>
          <w:tcPr>
            <w:cnfStyle w:val="001000000000"/>
            <w:tcW w:w="0" w:type="auto"/>
          </w:tcPr>
          <w:p w:rsidR="00CC6894" w:rsidRPr="00624E59" w:rsidRDefault="00CC6894" w:rsidP="009A630D">
            <w:pPr>
              <w:pStyle w:val="NoSpacing"/>
              <w:rPr>
                <w:lang w:val="en-AU"/>
              </w:rPr>
            </w:pPr>
            <w:r w:rsidRPr="00624E59">
              <w:rPr>
                <w:lang w:val="en-AU"/>
              </w:rPr>
              <w:t>Setting</w:t>
            </w:r>
          </w:p>
        </w:tc>
        <w:tc>
          <w:tcPr>
            <w:tcW w:w="0" w:type="auto"/>
          </w:tcPr>
          <w:p w:rsidR="00CC6894" w:rsidRPr="00624E59" w:rsidRDefault="00CC6894" w:rsidP="009A630D">
            <w:pPr>
              <w:pStyle w:val="NoSpacing"/>
              <w:cnfStyle w:val="100000000000"/>
              <w:rPr>
                <w:lang w:val="en-AU"/>
              </w:rPr>
            </w:pPr>
            <w:r>
              <w:rPr>
                <w:lang w:val="en-AU"/>
              </w:rPr>
              <w:t>Description</w:t>
            </w:r>
          </w:p>
        </w:tc>
      </w:tr>
      <w:tr w:rsidR="00CC6894" w:rsidRPr="00624E59" w:rsidTr="009A630D">
        <w:trPr>
          <w:cnfStyle w:val="000000100000"/>
          <w:jc w:val="center"/>
        </w:trPr>
        <w:tc>
          <w:tcPr>
            <w:cnfStyle w:val="001000000000"/>
            <w:tcW w:w="0" w:type="auto"/>
          </w:tcPr>
          <w:p w:rsidR="00CC6894" w:rsidRPr="00624E59" w:rsidRDefault="00CC6894" w:rsidP="009A630D">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9A630D">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9A630D">
        <w:trPr>
          <w:jc w:val="center"/>
        </w:trPr>
        <w:tc>
          <w:tcPr>
            <w:cnfStyle w:val="001000000000"/>
            <w:tcW w:w="0" w:type="auto"/>
          </w:tcPr>
          <w:p w:rsidR="00CC6894" w:rsidRPr="00624E59" w:rsidRDefault="00CE7DDB" w:rsidP="009A630D">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9A630D">
            <w:pPr>
              <w:pStyle w:val="NoSpacing"/>
              <w:cnfStyle w:val="000000000000"/>
              <w:rPr>
                <w:lang w:val="en-AU"/>
              </w:rPr>
            </w:pPr>
            <w:r>
              <w:rPr>
                <w:lang w:val="en-AU"/>
              </w:rPr>
              <w:t xml:space="preserve">The path to the script file that controls the routing of SIP messages 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9A630D">
        <w:trPr>
          <w:cnfStyle w:val="000000100000"/>
          <w:jc w:val="center"/>
        </w:trPr>
        <w:tc>
          <w:tcPr>
            <w:cnfStyle w:val="001000000000"/>
            <w:tcW w:w="0" w:type="auto"/>
          </w:tcPr>
          <w:p w:rsidR="00CC6894" w:rsidRDefault="00CE7DD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NATKeepAliveSocket</w:t>
            </w:r>
          </w:p>
        </w:tc>
        <w:tc>
          <w:tcPr>
            <w:tcW w:w="0" w:type="auto"/>
          </w:tcPr>
          <w:p w:rsidR="00CC6894" w:rsidRPr="00624E59" w:rsidRDefault="00C4544D" w:rsidP="009A630D">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CC6894" w:rsidRPr="00624E59" w:rsidTr="009A630D">
        <w:trPr>
          <w:jc w:val="center"/>
        </w:trPr>
        <w:tc>
          <w:tcPr>
            <w:cnfStyle w:val="001000000000"/>
            <w:tcW w:w="0" w:type="auto"/>
          </w:tcPr>
          <w:p w:rsidR="00CC6894" w:rsidRDefault="00CC6894"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9A630D">
            <w:pPr>
              <w:pStyle w:val="NoSpacing"/>
              <w:cnfStyle w:val="0000000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w:t>
            </w:r>
            <w:r>
              <w:rPr>
                <w:lang w:val="en-AU"/>
              </w:rPr>
              <w:lastRenderedPageBreak/>
              <w:t>details.</w:t>
            </w:r>
          </w:p>
        </w:tc>
      </w:tr>
    </w:tbl>
    <w:p w:rsidR="00CC6894" w:rsidRPr="00624E59" w:rsidRDefault="00CC6894" w:rsidP="0012519B">
      <w:pPr>
        <w:pStyle w:val="NoSpacing"/>
        <w:rPr>
          <w:lang w:val="en-AU"/>
        </w:rPr>
      </w:pPr>
    </w:p>
    <w:p w:rsidR="0012519B" w:rsidRPr="00624E59" w:rsidRDefault="008D4518" w:rsidP="00A10BE5">
      <w:pPr>
        <w:pStyle w:val="Heading2"/>
      </w:pPr>
      <w:bookmarkStart w:id="7" w:name="_Toc231116724"/>
      <w:r w:rsidRPr="00624E59">
        <w:t>3</w:t>
      </w:r>
      <w:r w:rsidR="00F663CA" w:rsidRPr="00624E59">
        <w:t>.4 R</w:t>
      </w:r>
      <w:r w:rsidR="00A10BE5" w:rsidRPr="00624E59">
        <w:t>egistrar</w:t>
      </w:r>
      <w:bookmarkEnd w:id="7"/>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
        <w:tblW w:w="0" w:type="auto"/>
        <w:jc w:val="center"/>
        <w:tblLook w:val="04A0"/>
      </w:tblPr>
      <w:tblGrid>
        <w:gridCol w:w="2977"/>
        <w:gridCol w:w="6265"/>
      </w:tblGrid>
      <w:tr w:rsidR="00CC6894" w:rsidRPr="00624E59" w:rsidTr="009A630D">
        <w:trPr>
          <w:cnfStyle w:val="100000000000"/>
          <w:jc w:val="center"/>
        </w:trPr>
        <w:tc>
          <w:tcPr>
            <w:cnfStyle w:val="001000000000"/>
            <w:tcW w:w="0" w:type="auto"/>
          </w:tcPr>
          <w:p w:rsidR="00CC6894" w:rsidRPr="00624E59" w:rsidRDefault="00CC6894" w:rsidP="009A630D">
            <w:pPr>
              <w:pStyle w:val="NoSpacing"/>
              <w:rPr>
                <w:lang w:val="en-AU"/>
              </w:rPr>
            </w:pPr>
            <w:r w:rsidRPr="00624E59">
              <w:rPr>
                <w:lang w:val="en-AU"/>
              </w:rPr>
              <w:t>Setting</w:t>
            </w:r>
          </w:p>
        </w:tc>
        <w:tc>
          <w:tcPr>
            <w:tcW w:w="0" w:type="auto"/>
          </w:tcPr>
          <w:p w:rsidR="00CC6894" w:rsidRPr="00624E59" w:rsidRDefault="00CC6894" w:rsidP="009A630D">
            <w:pPr>
              <w:pStyle w:val="NoSpacing"/>
              <w:cnfStyle w:val="100000000000"/>
              <w:rPr>
                <w:lang w:val="en-AU"/>
              </w:rPr>
            </w:pPr>
            <w:r>
              <w:rPr>
                <w:lang w:val="en-AU"/>
              </w:rPr>
              <w:t>Description</w:t>
            </w:r>
          </w:p>
        </w:tc>
      </w:tr>
      <w:tr w:rsidR="00CC6894" w:rsidRPr="00624E59" w:rsidTr="009A630D">
        <w:trPr>
          <w:cnfStyle w:val="000000100000"/>
          <w:jc w:val="center"/>
        </w:trPr>
        <w:tc>
          <w:tcPr>
            <w:cnfStyle w:val="001000000000"/>
            <w:tcW w:w="0" w:type="auto"/>
          </w:tcPr>
          <w:p w:rsidR="00CC6894" w:rsidRPr="00624E59" w:rsidRDefault="00CC6894" w:rsidP="009A630D">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9A630D">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9A630D">
        <w:trPr>
          <w:jc w:val="center"/>
        </w:trPr>
        <w:tc>
          <w:tcPr>
            <w:cnfStyle w:val="001000000000"/>
            <w:tcW w:w="0" w:type="auto"/>
          </w:tcPr>
          <w:p w:rsidR="00CC6894" w:rsidRPr="00624E59" w:rsidRDefault="00CE7DDB" w:rsidP="009A630D">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w:t>
            </w:r>
            <w:r>
              <w:rPr>
                <w:rFonts w:ascii="Courier New" w:hAnsi="Courier New" w:cs="Courier New"/>
                <w:noProof/>
                <w:color w:val="0000FF"/>
                <w:sz w:val="20"/>
                <w:szCs w:val="20"/>
              </w:rPr>
              <w:t>10</w:t>
            </w:r>
            <w:r>
              <w:rPr>
                <w:lang w:val="en-AU"/>
              </w:rPr>
              <w:t>.</w:t>
            </w:r>
          </w:p>
        </w:tc>
      </w:tr>
      <w:tr w:rsidR="00CC6894" w:rsidRPr="00624E59" w:rsidTr="009A630D">
        <w:trPr>
          <w:cnfStyle w:val="000000100000"/>
          <w:jc w:val="center"/>
        </w:trPr>
        <w:tc>
          <w:tcPr>
            <w:cnfStyle w:val="001000000000"/>
            <w:tcW w:w="0" w:type="auto"/>
          </w:tcPr>
          <w:p w:rsidR="00CC6894" w:rsidRDefault="00CE7DD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9A630D">
        <w:trPr>
          <w:jc w:val="center"/>
        </w:trPr>
        <w:tc>
          <w:tcPr>
            <w:cnfStyle w:val="001000000000"/>
            <w:tcW w:w="0" w:type="auto"/>
          </w:tcPr>
          <w:p w:rsidR="00CC6894" w:rsidRDefault="00CE7DDB"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useragentconfigs</w:t>
            </w:r>
          </w:p>
        </w:tc>
        <w:tc>
          <w:tcPr>
            <w:tcW w:w="0" w:type="auto"/>
          </w:tcPr>
          <w:p w:rsidR="00CC6894" w:rsidRPr="00624E59" w:rsidRDefault="007804CA" w:rsidP="009A630D">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9A630D">
        <w:trPr>
          <w:cnfStyle w:val="000000100000"/>
          <w:jc w:val="center"/>
        </w:trPr>
        <w:tc>
          <w:tcPr>
            <w:cnfStyle w:val="001000000000"/>
            <w:tcW w:w="0" w:type="auto"/>
          </w:tcPr>
          <w:p w:rsidR="00CC6894" w:rsidRDefault="00CC6894"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9A630D">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8" w:name="_Toc231116725"/>
      <w:r w:rsidRPr="00624E59">
        <w:lastRenderedPageBreak/>
        <w:t>3</w:t>
      </w:r>
      <w:r w:rsidR="00F663CA" w:rsidRPr="00624E59">
        <w:t>.5</w:t>
      </w:r>
      <w:r w:rsidR="00A10BE5" w:rsidRPr="00624E59">
        <w:t xml:space="preserve"> Registration Agent</w:t>
      </w:r>
      <w:bookmarkEnd w:id="8"/>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
        <w:tblW w:w="0" w:type="auto"/>
        <w:jc w:val="center"/>
        <w:tblLook w:val="04A0"/>
      </w:tblPr>
      <w:tblGrid>
        <w:gridCol w:w="2497"/>
        <w:gridCol w:w="6745"/>
      </w:tblGrid>
      <w:tr w:rsidR="00CC6894" w:rsidRPr="00624E59" w:rsidTr="009A630D">
        <w:trPr>
          <w:cnfStyle w:val="100000000000"/>
          <w:jc w:val="center"/>
        </w:trPr>
        <w:tc>
          <w:tcPr>
            <w:cnfStyle w:val="001000000000"/>
            <w:tcW w:w="0" w:type="auto"/>
          </w:tcPr>
          <w:p w:rsidR="00CC6894" w:rsidRPr="00624E59" w:rsidRDefault="00CC6894" w:rsidP="009A630D">
            <w:pPr>
              <w:pStyle w:val="NoSpacing"/>
              <w:rPr>
                <w:lang w:val="en-AU"/>
              </w:rPr>
            </w:pPr>
            <w:r w:rsidRPr="00624E59">
              <w:rPr>
                <w:lang w:val="en-AU"/>
              </w:rPr>
              <w:t>Setting</w:t>
            </w:r>
          </w:p>
        </w:tc>
        <w:tc>
          <w:tcPr>
            <w:tcW w:w="0" w:type="auto"/>
          </w:tcPr>
          <w:p w:rsidR="00CC6894" w:rsidRPr="00624E59" w:rsidRDefault="00CC6894" w:rsidP="009A630D">
            <w:pPr>
              <w:pStyle w:val="NoSpacing"/>
              <w:cnfStyle w:val="100000000000"/>
              <w:rPr>
                <w:lang w:val="en-AU"/>
              </w:rPr>
            </w:pPr>
            <w:r>
              <w:rPr>
                <w:lang w:val="en-AU"/>
              </w:rPr>
              <w:t>Description</w:t>
            </w:r>
          </w:p>
        </w:tc>
      </w:tr>
      <w:tr w:rsidR="00CC6894" w:rsidRPr="00624E59" w:rsidTr="009A630D">
        <w:trPr>
          <w:cnfStyle w:val="000000100000"/>
          <w:jc w:val="center"/>
        </w:trPr>
        <w:tc>
          <w:tcPr>
            <w:cnfStyle w:val="001000000000"/>
            <w:tcW w:w="0" w:type="auto"/>
          </w:tcPr>
          <w:p w:rsidR="00CC6894" w:rsidRPr="00624E59" w:rsidRDefault="00CC6894" w:rsidP="009A630D">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9A630D">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9A630D">
        <w:trPr>
          <w:jc w:val="center"/>
        </w:trPr>
        <w:tc>
          <w:tcPr>
            <w:cnfStyle w:val="001000000000"/>
            <w:tcW w:w="0" w:type="auto"/>
          </w:tcPr>
          <w:p w:rsidR="00CC6894" w:rsidRDefault="00CC6894"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9A630D">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9A630D">
        <w:trPr>
          <w:cnfStyle w:val="000000100000"/>
          <w:jc w:val="center"/>
        </w:trPr>
        <w:tc>
          <w:tcPr>
            <w:cnfStyle w:val="001000000000"/>
            <w:tcW w:w="0" w:type="auto"/>
          </w:tcPr>
          <w:p w:rsidR="00CC6894" w:rsidRDefault="00CC6894" w:rsidP="009A630D">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9A630D">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Pr="00624E59" w:rsidRDefault="00A10BE5" w:rsidP="008D4518">
      <w:pPr>
        <w:pStyle w:val="Heading1"/>
      </w:pPr>
    </w:p>
    <w:sectPr w:rsidR="00A10BE5" w:rsidRPr="00624E59"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038E8"/>
    <w:rsid w:val="00025FF7"/>
    <w:rsid w:val="0005398D"/>
    <w:rsid w:val="00064146"/>
    <w:rsid w:val="00072199"/>
    <w:rsid w:val="00091AA6"/>
    <w:rsid w:val="00095497"/>
    <w:rsid w:val="000F2A90"/>
    <w:rsid w:val="0012519B"/>
    <w:rsid w:val="0014663C"/>
    <w:rsid w:val="00151519"/>
    <w:rsid w:val="001841DA"/>
    <w:rsid w:val="001E62C8"/>
    <w:rsid w:val="00206EFD"/>
    <w:rsid w:val="00213E24"/>
    <w:rsid w:val="00225ED9"/>
    <w:rsid w:val="0029353A"/>
    <w:rsid w:val="002A0197"/>
    <w:rsid w:val="002A12C1"/>
    <w:rsid w:val="002B6814"/>
    <w:rsid w:val="002D6CA1"/>
    <w:rsid w:val="00336EA2"/>
    <w:rsid w:val="00353203"/>
    <w:rsid w:val="003806CB"/>
    <w:rsid w:val="00385022"/>
    <w:rsid w:val="003A5082"/>
    <w:rsid w:val="003B40AF"/>
    <w:rsid w:val="0042137D"/>
    <w:rsid w:val="00430144"/>
    <w:rsid w:val="004548A7"/>
    <w:rsid w:val="00471102"/>
    <w:rsid w:val="004C1B2F"/>
    <w:rsid w:val="004F275C"/>
    <w:rsid w:val="00516BB4"/>
    <w:rsid w:val="00554FC6"/>
    <w:rsid w:val="00566607"/>
    <w:rsid w:val="005A3E1A"/>
    <w:rsid w:val="005C1BDC"/>
    <w:rsid w:val="005C3D9B"/>
    <w:rsid w:val="00624E59"/>
    <w:rsid w:val="006A3079"/>
    <w:rsid w:val="007378BE"/>
    <w:rsid w:val="007804CA"/>
    <w:rsid w:val="007B3622"/>
    <w:rsid w:val="00800E07"/>
    <w:rsid w:val="00803B1E"/>
    <w:rsid w:val="0081271B"/>
    <w:rsid w:val="00817077"/>
    <w:rsid w:val="00826FDC"/>
    <w:rsid w:val="008D4518"/>
    <w:rsid w:val="00955353"/>
    <w:rsid w:val="00986478"/>
    <w:rsid w:val="009A3342"/>
    <w:rsid w:val="009E2239"/>
    <w:rsid w:val="00A10BE5"/>
    <w:rsid w:val="00A304D2"/>
    <w:rsid w:val="00A4328D"/>
    <w:rsid w:val="00A90A26"/>
    <w:rsid w:val="00B21E42"/>
    <w:rsid w:val="00B72226"/>
    <w:rsid w:val="00B72B64"/>
    <w:rsid w:val="00B75646"/>
    <w:rsid w:val="00B8443C"/>
    <w:rsid w:val="00B97AA2"/>
    <w:rsid w:val="00BB1F9F"/>
    <w:rsid w:val="00BD6930"/>
    <w:rsid w:val="00BE532D"/>
    <w:rsid w:val="00C4544D"/>
    <w:rsid w:val="00C70F78"/>
    <w:rsid w:val="00C974FE"/>
    <w:rsid w:val="00CC0931"/>
    <w:rsid w:val="00CC5128"/>
    <w:rsid w:val="00CC6894"/>
    <w:rsid w:val="00CE7DDB"/>
    <w:rsid w:val="00D3411E"/>
    <w:rsid w:val="00D57F55"/>
    <w:rsid w:val="00D62ADA"/>
    <w:rsid w:val="00D94315"/>
    <w:rsid w:val="00DB6C47"/>
    <w:rsid w:val="00DD0778"/>
    <w:rsid w:val="00E53249"/>
    <w:rsid w:val="00E55C8A"/>
    <w:rsid w:val="00E77884"/>
    <w:rsid w:val="00ED6D84"/>
    <w:rsid w:val="00F34E33"/>
    <w:rsid w:val="00F41D52"/>
    <w:rsid w:val="00F663CA"/>
    <w:rsid w:val="00FA4C0D"/>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ging.apache.org/log4net/index.html" TargetMode="External"/><Relationship Id="rId3" Type="http://schemas.openxmlformats.org/officeDocument/2006/relationships/numbering" Target="numbering.xml"/><Relationship Id="rId7" Type="http://schemas.openxmlformats.org/officeDocument/2006/relationships/hyperlink" Target="http://msdn.microsoft.com/en-us/library/ms229689(vs.71).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msdn.microsoft.com/en-us/library/ms73108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429C7-BEA1-4034-9664-6D326B52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11934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Experimental SIP Software</dc:subject>
  <dc:creator>Aaron Clauson</dc:creator>
  <cp:lastModifiedBy>Aaron Clauson</cp:lastModifiedBy>
  <cp:revision>71</cp:revision>
  <dcterms:created xsi:type="dcterms:W3CDTF">2009-05-19T03:23:00Z</dcterms:created>
  <dcterms:modified xsi:type="dcterms:W3CDTF">2009-05-26T06:39:00Z</dcterms:modified>
</cp:coreProperties>
</file>