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2937"/>
          <w:sz w:val="56"/>
          <w:szCs w:val="56"/>
        </w:rPr>
        <w:t xml:space="preserve">ADOS-Trade</w:t>
      </w:r>
    </w:p>
    <w:p>
      <w:pPr>
        <w:spacing w:after="400"/>
        <w:jc w:val="center"/>
      </w:pPr>
      <w:r>
        <w:rPr>
          <w:b/>
          <w:bCs/>
          <w:color w:val="1F2937"/>
          <w:sz w:val="36"/>
          <w:szCs w:val="36"/>
        </w:rPr>
        <w:t xml:space="preserve">数据架构与技术规格书</w:t>
      </w:r>
    </w:p>
    <w:p>
      <w:pPr>
        <w:jc w:val="center"/>
      </w:pPr>
      <w:r>
        <w:rPr>
          <w:color w:val="6B7280"/>
          <w:sz w:val="24"/>
          <w:szCs w:val="24"/>
        </w:rPr>
        <w:t xml:space="preserve">v1.0 · 2026-08-03</w:t>
      </w:r>
    </w:p>
    <w:p>
      <w:pPr>
        <w:spacing w:before="100"/>
        <w:jc w:val="center"/>
      </w:pPr>
      <w:r>
        <w:rPr>
          <w:i/>
          <w:iCs/>
          <w:color w:val="6B7280"/>
          <w:sz w:val="22"/>
          <w:szCs w:val="22"/>
        </w:rPr>
        <w:t xml:space="preserve">免费优先，按需升级</w:t>
      </w:r>
    </w:p>
    <w:p>
      <w:r>
        <w:br w:type="page"/>
      </w:r>
    </w:p>
    <w:p>
      <w:pPr>
        <w:pStyle w:val="Heading1"/>
        <w:spacing w:after="200" w:before="400"/>
      </w:pPr>
      <w:r>
        <w:t xml:space="preserve">目录</w:t>
      </w:r>
    </w:p>
    <w:p>
      <w:pPr>
        <w:spacing w:after="150"/>
      </w:pPr>
      <w:r>
        <w:t xml:space="preserve">1. 项目概述</w:t>
      </w:r>
    </w:p>
    <w:p>
      <w:pPr>
        <w:spacing w:after="150"/>
      </w:pPr>
      <w:r>
        <w:t xml:space="preserve">2. 数据分级模型</w:t>
      </w:r>
    </w:p>
    <w:p>
      <w:pPr>
        <w:spacing w:after="150"/>
      </w:pPr>
      <w:r>
        <w:t xml:space="preserve">3. Phase 1：免费 / 零成本数据源清单</w:t>
      </w:r>
    </w:p>
    <w:p>
      <w:pPr>
        <w:spacing w:after="150"/>
      </w:pPr>
      <w:r>
        <w:t xml:space="preserve">4. ADOS Engine 自算指标清单</w:t>
      </w:r>
    </w:p>
    <w:p>
      <w:pPr>
        <w:spacing w:after="150"/>
      </w:pPr>
      <w:r>
        <w:t xml:space="preserve">5. 评分逻辑设计</w:t>
      </w:r>
    </w:p>
    <w:p>
      <w:pPr>
        <w:spacing w:after="150"/>
      </w:pPr>
      <w:r>
        <w:t xml:space="preserve">6. 回测框架设计</w:t>
      </w:r>
    </w:p>
    <w:p>
      <w:pPr>
        <w:spacing w:after="150"/>
      </w:pPr>
      <w:r>
        <w:t xml:space="preserve">7. 事件日历集成逻辑</w:t>
      </w:r>
    </w:p>
    <w:p>
      <w:pPr>
        <w:spacing w:after="150"/>
      </w:pPr>
      <w:r>
        <w:t xml:space="preserve">8. 第五类：几乎无法自行获得的数据及重要性评估</w:t>
      </w:r>
    </w:p>
    <w:p>
      <w:pPr>
        <w:spacing w:after="150"/>
      </w:pPr>
      <w:r>
        <w:t xml:space="preserve">9. Phase 2：付费升级触发条件</w:t>
      </w:r>
    </w:p>
    <w:p>
      <w:pPr>
        <w:spacing w:after="150"/>
      </w:pPr>
      <w:r>
        <w:t xml:space="preserve">10. 技术栈</w:t>
      </w:r>
    </w:p>
    <w:p>
      <w:pPr>
        <w:spacing w:after="150"/>
      </w:pPr>
      <w:r>
        <w:t xml:space="preserve">11. 分阶段路线图</w:t>
      </w:r>
    </w:p>
    <w:p>
      <w:pPr>
        <w:spacing w:after="150"/>
      </w:pPr>
      <w:r>
        <w:t xml:space="preserve">12. 开发计划</w:t>
      </w:r>
    </w:p>
    <w:p>
      <w:pPr>
        <w:spacing w:after="150"/>
      </w:pPr>
      <w:r>
        <w:t xml:space="preserve">13. 待验证 / 风险清单</w:t>
      </w:r>
    </w:p>
    <w:p>
      <w:pPr>
        <w:spacing w:after="150"/>
      </w:pPr>
      <w:r>
        <w:t xml:space="preserve">14. 附录：竞品参考（Stock Rose / 繁花）</w:t>
      </w:r>
    </w:p>
    <w:p>
      <w:r>
        <w:br w:type="page"/>
      </w:r>
    </w:p>
    <w:p>
      <w:pPr>
        <w:pStyle w:val="Heading1"/>
        <w:spacing w:after="200" w:before="400"/>
      </w:pPr>
      <w:r>
        <w:t xml:space="preserve">1. 项目概述</w:t>
      </w:r>
    </w:p>
    <w:p>
      <w:pPr>
        <w:pStyle w:val="Heading2"/>
        <w:spacing w:after="150" w:before="300"/>
      </w:pPr>
      <w:r>
        <w:t xml:space="preserve">1.1 项目定位</w:t>
      </w:r>
    </w:p>
    <w:p>
      <w:pPr>
        <w:spacing w:after="150"/>
      </w:pPr>
      <w:r>
        <w:t xml:space="preserve">ADOS-Trade 是一个 Bloomberg Terminal 风格的个人交易决策仪表盘，基于 Next.js / React / TypeScript 构建，数据层通过 Interactive Brokers（IBKR）Client Portal Gateway 接入真实行情，替代早期的 mock 数据阶段。</w:t>
      </w:r>
    </w:p>
    <w:p>
      <w:pPr>
        <w:pStyle w:val="Heading2"/>
        <w:spacing w:after="150" w:before="300"/>
      </w:pPr>
      <w:r>
        <w:t xml:space="preserve">1.2 覆盖场景</w:t>
      </w:r>
    </w:p>
    <w:p>
      <w:pPr>
        <w:spacing w:after="150"/>
      </w:pPr>
      <w:r>
        <w:t xml:space="preserve">本项目需要同时支撑以下四类交易场景，各场景对数据的实时性、颗粒度要求不同：</w:t>
      </w:r>
    </w:p>
    <w:p>
      <w:pPr>
        <w:pStyle w:val="ListParagraph"/>
        <w:numPr>
          <w:ilvl w:val="0"/>
          <w:numId w:val="2"/>
        </w:numPr>
        <w:spacing w:after="80"/>
      </w:pPr>
      <w:r>
        <w:t xml:space="preserve">日内短线 —— RSI / 量比 / MA 信号驱动，对数据实时性要求最高</w:t>
      </w:r>
    </w:p>
    <w:p>
      <w:pPr>
        <w:pStyle w:val="ListParagraph"/>
        <w:numPr>
          <w:ilvl w:val="0"/>
          <w:numId w:val="2"/>
        </w:numPr>
        <w:spacing w:after="80"/>
      </w:pPr>
      <w:r>
        <w:t xml:space="preserve">波段 / 趋势跟踪 —— 数天到数周持仓，日线级别数据即可</w:t>
      </w:r>
    </w:p>
    <w:p>
      <w:pPr>
        <w:pStyle w:val="ListParagraph"/>
        <w:numPr>
          <w:ilvl w:val="0"/>
          <w:numId w:val="2"/>
        </w:numPr>
        <w:spacing w:after="80"/>
      </w:pPr>
      <w:r>
        <w:t xml:space="preserve">期权策略 —— 不限财报窗口，包含常规 covered call、vertical spread 等</w:t>
      </w:r>
    </w:p>
    <w:p>
      <w:pPr>
        <w:pStyle w:val="ListParagraph"/>
        <w:numPr>
          <w:ilvl w:val="0"/>
          <w:numId w:val="2"/>
        </w:numPr>
        <w:spacing w:after="80"/>
      </w:pPr>
      <w:r>
        <w:t xml:space="preserve">杠杆 ETF 择时对冲 —— QQQ / TQQQ / SQQQ 的 Bull/Chop/Bear 动态配置模型</w:t>
      </w:r>
    </w:p>
    <w:p>
      <w:pPr>
        <w:pStyle w:val="Heading2"/>
        <w:spacing w:after="150" w:before="300"/>
      </w:pPr>
      <w:r>
        <w:t xml:space="preserve">1.3 核心原则</w:t>
      </w:r>
    </w:p>
    <w:p>
      <w:pPr>
        <w:spacing w:after="150"/>
      </w:pPr>
      <w:r>
        <w:t xml:space="preserve">数据架构的决策原则：</w:t>
      </w:r>
    </w:p>
    <w:p>
      <w:pPr>
        <w:pStyle w:val="ListParagraph"/>
        <w:numPr>
          <w:ilvl w:val="0"/>
          <w:numId w:val="2"/>
        </w:numPr>
        <w:spacing w:after="80"/>
      </w:pPr>
      <w:r>
        <w:t xml:space="preserve">能自己算的指标绝不买，只买真正无法自行获得的原始数据</w:t>
      </w:r>
    </w:p>
    <w:p>
      <w:pPr>
        <w:pStyle w:val="ListParagraph"/>
        <w:numPr>
          <w:ilvl w:val="0"/>
          <w:numId w:val="2"/>
        </w:numPr>
        <w:spacing w:after="80"/>
      </w:pPr>
      <w:r>
        <w:t xml:space="preserve">Phase 1 全部使用免费或已持有的数据源，先把 ADOS Engine 的指标层和策略逻辑跑通、验证有效性</w:t>
      </w:r>
    </w:p>
    <w:p>
      <w:pPr>
        <w:pStyle w:val="ListParagraph"/>
        <w:numPr>
          <w:ilvl w:val="0"/>
          <w:numId w:val="2"/>
        </w:numPr>
        <w:spacing w:after="80"/>
      </w:pPr>
      <w:r>
        <w:t xml:space="preserve">Phase 2 仅在验证后发现具体、明确的数据缺口时，针对性采购，不预先为想象中的需求付费</w:t>
      </w:r>
    </w:p>
    <w:p>
      <w:pPr>
        <w:pStyle w:val="Heading1"/>
        <w:spacing w:after="200" w:before="400"/>
      </w:pPr>
      <w:r>
        <w:t xml:space="preserve">2. 数据分级模型</w:t>
      </w:r>
    </w:p>
    <w:p>
      <w:pPr>
        <w:spacing w:after="150"/>
      </w:pPr>
      <w:r>
        <w:t xml:space="preserve">原始设想将数据分为五类，经过讨论后对分类中的两处偏差做了修正：</w:t>
      </w:r>
    </w:p>
    <w:p>
      <w:pPr>
        <w:shd w:fill="FFF6DC" w:val="clear"/>
        <w:spacing w:after="150"/>
      </w:pPr>
      <w:r>
        <w:rPr>
          <w:i/>
          <w:iCs/>
          <w:color w:val="806000"/>
        </w:rPr>
        <w:t xml:space="preserve">修正 1：Dealer Position / GEX 类指标本质是"基于假设的估算"，而非"真实计算"或"真实数据"——即使花钱购买同类商业产品（如 SpotGamma），得到的也是同一套假设下的估算值，并不存在可购买的"真实"版本。</w:t>
      </w:r>
    </w:p>
    <w:p>
      <w:pPr>
        <w:shd w:fill="FFF6DC" w:val="clear"/>
        <w:spacing w:after="150"/>
      </w:pPr>
      <w:r>
        <w:rPr>
          <w:i/>
          <w:iCs/>
          <w:color w:val="806000"/>
        </w:rPr>
        <w:t xml:space="preserve">修正 2：Dark Pool 成交量实际上会通过 FINRA ADF/TRF 计入合并成交量（consolidated tape volume），只是不会标注具体成交来源；Insider Order（内幕交易披露）通过 SEC Form 4 免费公开，缺口在于"自行解析 filing"而非"购买数据"。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226"/>
      </w:tblGrid>
      <w:tr>
        <w:trPr>
          <w:tblHeader/>
        </w:trPr>
        <w:tc>
          <w:tcPr>
            <w:tcW w:type="dxa" w:w="1000"/>
            <w:shd w:fill="2F3B52" w:val="clear"/>
            <w:vAlign w:val="center"/>
          </w:tcPr>
          <w:p>
            <w:r>
              <w:rPr>
                <w:b/>
                <w:bCs/>
                <w:color w:val="FFFFFF"/>
                <w:sz w:val="20"/>
                <w:szCs w:val="20"/>
              </w:rPr>
              <w:t xml:space="preserve">类别</w:t>
            </w:r>
          </w:p>
        </w:tc>
        <w:tc>
          <w:tcPr>
            <w:tcW w:type="dxa" w:w="2600"/>
            <w:shd w:fill="2F3B52" w:val="clear"/>
            <w:vAlign w:val="center"/>
          </w:tcPr>
          <w:p>
            <w:r>
              <w:rPr>
                <w:b/>
                <w:bCs/>
                <w:color w:val="FFFFFF"/>
                <w:sz w:val="20"/>
                <w:szCs w:val="20"/>
              </w:rPr>
              <w:t xml:space="preserve">说明</w:t>
            </w:r>
          </w:p>
        </w:tc>
        <w:tc>
          <w:tcPr>
            <w:tcW w:type="dxa" w:w="3200"/>
            <w:shd w:fill="2F3B52" w:val="clear"/>
            <w:vAlign w:val="center"/>
          </w:tcPr>
          <w:p>
            <w:r>
              <w:rPr>
                <w:b/>
                <w:bCs/>
                <w:color w:val="FFFFFF"/>
                <w:sz w:val="20"/>
                <w:szCs w:val="20"/>
              </w:rPr>
              <w:t xml:space="preserve">典型数据</w:t>
            </w:r>
          </w:p>
        </w:tc>
        <w:tc>
          <w:tcPr>
            <w:tcW w:type="dxa" w:w="2226"/>
            <w:shd w:fill="2F3B52" w:val="clear"/>
            <w:vAlign w:val="center"/>
          </w:tcPr>
          <w:p>
            <w:r>
              <w:rPr>
                <w:b/>
                <w:bCs/>
                <w:color w:val="FFFFFF"/>
                <w:sz w:val="20"/>
                <w:szCs w:val="20"/>
              </w:rPr>
              <w:t xml:space="preserve">获取方式</w:t>
            </w:r>
          </w:p>
        </w:tc>
      </w:tr>
      <w:tr>
        <w:tc>
          <w:tcPr>
            <w:tcW w:type="dxa" w:w="1000"/>
            <w:vAlign w:val="center"/>
          </w:tcPr>
          <w:p>
            <w:r>
              <w:rPr>
                <w:b w:val="false"/>
                <w:bCs w:val="false"/>
                <w:sz w:val="20"/>
                <w:szCs w:val="20"/>
              </w:rPr>
              <w:t xml:space="preserve">第一类</w:t>
            </w:r>
          </w:p>
        </w:tc>
        <w:tc>
          <w:tcPr>
            <w:tcW w:type="dxa" w:w="2600"/>
            <w:vAlign w:val="center"/>
          </w:tcPr>
          <w:p>
            <w:r>
              <w:rPr>
                <w:b w:val="false"/>
                <w:bCs w:val="false"/>
                <w:sz w:val="20"/>
                <w:szCs w:val="20"/>
              </w:rPr>
              <w:t xml:space="preserve">交易所原始行情，无法自行生成</w:t>
            </w:r>
          </w:p>
        </w:tc>
        <w:tc>
          <w:tcPr>
            <w:tcW w:type="dxa" w:w="3200"/>
            <w:vAlign w:val="center"/>
          </w:tcPr>
          <w:p>
            <w:r>
              <w:rPr>
                <w:b w:val="false"/>
                <w:bCs w:val="false"/>
                <w:sz w:val="20"/>
                <w:szCs w:val="20"/>
              </w:rPr>
              <w:t xml:space="preserve">正股 Tick / L1 / L2、期权链、OI、成交量</w:t>
            </w:r>
          </w:p>
        </w:tc>
        <w:tc>
          <w:tcPr>
            <w:tcW w:type="dxa" w:w="2226"/>
            <w:vAlign w:val="center"/>
          </w:tcPr>
          <w:p>
            <w:r>
              <w:rPr>
                <w:b w:val="false"/>
                <w:bCs w:val="false"/>
                <w:sz w:val="20"/>
                <w:szCs w:val="20"/>
              </w:rPr>
              <w:t xml:space="preserve">购买 / 经纪商现成</w:t>
            </w:r>
          </w:p>
        </w:tc>
      </w:tr>
      <w:tr>
        <w:tc>
          <w:tcPr>
            <w:tcW w:type="dxa" w:w="1000"/>
            <w:vAlign w:val="center"/>
          </w:tcPr>
          <w:p>
            <w:r>
              <w:rPr>
                <w:b w:val="false"/>
                <w:bCs w:val="false"/>
                <w:sz w:val="20"/>
                <w:szCs w:val="20"/>
              </w:rPr>
              <w:t xml:space="preserve">第二类</w:t>
            </w:r>
          </w:p>
        </w:tc>
        <w:tc>
          <w:tcPr>
            <w:tcW w:type="dxa" w:w="2600"/>
            <w:vAlign w:val="center"/>
          </w:tcPr>
          <w:p>
            <w:r>
              <w:rPr>
                <w:b w:val="false"/>
                <w:bCs w:val="false"/>
                <w:sz w:val="20"/>
                <w:szCs w:val="20"/>
              </w:rPr>
              <w:t xml:space="preserve">基础衍生计算，公开算法</w:t>
            </w:r>
          </w:p>
        </w:tc>
        <w:tc>
          <w:tcPr>
            <w:tcW w:type="dxa" w:w="3200"/>
            <w:vAlign w:val="center"/>
          </w:tcPr>
          <w:p>
            <w:r>
              <w:rPr>
                <w:b w:val="false"/>
                <w:bCs w:val="false"/>
                <w:sz w:val="20"/>
                <w:szCs w:val="20"/>
              </w:rPr>
              <w:t xml:space="preserve">VWAP、Volume Profile、POC、Put/Call Ratio、Max Pain</w:t>
            </w:r>
          </w:p>
        </w:tc>
        <w:tc>
          <w:tcPr>
            <w:tcW w:type="dxa" w:w="2226"/>
            <w:vAlign w:val="center"/>
          </w:tcPr>
          <w:p>
            <w:r>
              <w:rPr>
                <w:b w:val="false"/>
                <w:bCs w:val="false"/>
                <w:sz w:val="20"/>
                <w:szCs w:val="20"/>
              </w:rPr>
              <w:t xml:space="preserve">自行计算</w:t>
            </w:r>
          </w:p>
        </w:tc>
      </w:tr>
      <w:tr>
        <w:tc>
          <w:tcPr>
            <w:tcW w:type="dxa" w:w="1000"/>
            <w:vAlign w:val="center"/>
          </w:tcPr>
          <w:p>
            <w:r>
              <w:rPr>
                <w:b w:val="false"/>
                <w:bCs w:val="false"/>
                <w:sz w:val="20"/>
                <w:szCs w:val="20"/>
              </w:rPr>
              <w:t xml:space="preserve">第三类</w:t>
            </w:r>
          </w:p>
        </w:tc>
        <w:tc>
          <w:tcPr>
            <w:tcW w:type="dxa" w:w="2600"/>
            <w:vAlign w:val="center"/>
          </w:tcPr>
          <w:p>
            <w:r>
              <w:rPr>
                <w:b w:val="false"/>
                <w:bCs w:val="false"/>
                <w:sz w:val="20"/>
                <w:szCs w:val="20"/>
              </w:rPr>
              <w:t xml:space="preserve">需要假设前提的估算类指标</w:t>
            </w:r>
          </w:p>
        </w:tc>
        <w:tc>
          <w:tcPr>
            <w:tcW w:type="dxa" w:w="3200"/>
            <w:vAlign w:val="center"/>
          </w:tcPr>
          <w:p>
            <w:r>
              <w:rPr>
                <w:b w:val="false"/>
                <w:bCs w:val="false"/>
                <w:sz w:val="20"/>
                <w:szCs w:val="20"/>
              </w:rPr>
              <w:t xml:space="preserve">GEX、Dealer Gamma Estimate、Gamma Wall、IV Rank/Percentile</w:t>
            </w:r>
          </w:p>
        </w:tc>
        <w:tc>
          <w:tcPr>
            <w:tcW w:type="dxa" w:w="2226"/>
            <w:vAlign w:val="center"/>
          </w:tcPr>
          <w:p>
            <w:r>
              <w:rPr>
                <w:b w:val="false"/>
                <w:bCs w:val="false"/>
                <w:sz w:val="20"/>
                <w:szCs w:val="20"/>
              </w:rPr>
              <w:t xml:space="preserve">自行计算（估算性质需标注）</w:t>
            </w:r>
          </w:p>
        </w:tc>
      </w:tr>
      <w:tr>
        <w:tc>
          <w:tcPr>
            <w:tcW w:type="dxa" w:w="1000"/>
            <w:vAlign w:val="center"/>
          </w:tcPr>
          <w:p>
            <w:r>
              <w:rPr>
                <w:b w:val="false"/>
                <w:bCs w:val="false"/>
                <w:sz w:val="20"/>
                <w:szCs w:val="20"/>
              </w:rPr>
              <w:t xml:space="preserve">第四类</w:t>
            </w:r>
          </w:p>
        </w:tc>
        <w:tc>
          <w:tcPr>
            <w:tcW w:type="dxa" w:w="2600"/>
            <w:vAlign w:val="center"/>
          </w:tcPr>
          <w:p>
            <w:r>
              <w:rPr>
                <w:b w:val="false"/>
                <w:bCs w:val="false"/>
                <w:sz w:val="20"/>
                <w:szCs w:val="20"/>
              </w:rPr>
              <w:t xml:space="preserve">Greeks，可买可算</w:t>
            </w:r>
          </w:p>
        </w:tc>
        <w:tc>
          <w:tcPr>
            <w:tcW w:type="dxa" w:w="3200"/>
            <w:vAlign w:val="center"/>
          </w:tcPr>
          <w:p>
            <w:r>
              <w:rPr>
                <w:b w:val="false"/>
                <w:bCs w:val="false"/>
                <w:sz w:val="20"/>
                <w:szCs w:val="20"/>
              </w:rPr>
              <w:t xml:space="preserve">Delta / Gamma / Theta / Vega</w:t>
            </w:r>
          </w:p>
        </w:tc>
        <w:tc>
          <w:tcPr>
            <w:tcW w:type="dxa" w:w="2226"/>
            <w:vAlign w:val="center"/>
          </w:tcPr>
          <w:p>
            <w:r>
              <w:rPr>
                <w:b w:val="false"/>
                <w:bCs w:val="false"/>
                <w:sz w:val="20"/>
                <w:szCs w:val="20"/>
              </w:rPr>
              <w:t xml:space="preserve">首版可用现成 IV 反推自算</w:t>
            </w:r>
          </w:p>
        </w:tc>
      </w:tr>
      <w:tr>
        <w:tc>
          <w:tcPr>
            <w:tcW w:type="dxa" w:w="1000"/>
            <w:vAlign w:val="center"/>
          </w:tcPr>
          <w:p>
            <w:r>
              <w:rPr>
                <w:b w:val="false"/>
                <w:bCs w:val="false"/>
                <w:sz w:val="20"/>
                <w:szCs w:val="20"/>
              </w:rPr>
              <w:t xml:space="preserve">第五类</w:t>
            </w:r>
          </w:p>
        </w:tc>
        <w:tc>
          <w:tcPr>
            <w:tcW w:type="dxa" w:w="2600"/>
            <w:vAlign w:val="center"/>
          </w:tcPr>
          <w:p>
            <w:r>
              <w:rPr>
                <w:b w:val="false"/>
                <w:bCs w:val="false"/>
                <w:sz w:val="20"/>
                <w:szCs w:val="20"/>
              </w:rPr>
              <w:t xml:space="preserve">真正必须购买或无法获得</w:t>
            </w:r>
          </w:p>
        </w:tc>
        <w:tc>
          <w:tcPr>
            <w:tcW w:type="dxa" w:w="3200"/>
            <w:vAlign w:val="center"/>
          </w:tcPr>
          <w:p>
            <w:r>
              <w:rPr>
                <w:b w:val="false"/>
                <w:bCs w:val="false"/>
                <w:sz w:val="20"/>
                <w:szCs w:val="20"/>
              </w:rPr>
              <w:t xml:space="preserve">Sweep、Block Trade、Options Flow、Dealer 真实仓位</w:t>
            </w:r>
          </w:p>
        </w:tc>
        <w:tc>
          <w:tcPr>
            <w:tcW w:type="dxa" w:w="2226"/>
            <w:vAlign w:val="center"/>
          </w:tcPr>
          <w:p>
            <w:r>
              <w:rPr>
                <w:b w:val="false"/>
                <w:bCs w:val="false"/>
                <w:sz w:val="20"/>
                <w:szCs w:val="20"/>
              </w:rPr>
              <w:t xml:space="preserve">购买（若确需要）或接受估算</w:t>
            </w:r>
          </w:p>
        </w:tc>
      </w:tr>
    </w:tbl>
    <w:p>
      <w:pPr>
        <w:pStyle w:val="Heading1"/>
        <w:spacing w:after="200" w:before="400"/>
      </w:pPr>
      <w:r>
        <w:t xml:space="preserve">3. Phase 1：免费 / 零成本数据源清单</w:t>
      </w:r>
    </w:p>
    <w:p>
      <w:pPr>
        <w:pStyle w:val="Heading2"/>
        <w:spacing w:after="150" w:before="300"/>
      </w:pPr>
      <w:r>
        <w:t xml:space="preserve">3.1 IBKR（经纪商现成数据，已连接使用）</w:t>
      </w:r>
    </w:p>
    <w:p>
      <w:pPr>
        <w:spacing w:after="150"/>
      </w:pPr>
      <w:r>
        <w:t xml:space="preserve">已通过 IBKR MCP 连接器核实以下字段可直接调用：</w:t>
      </w:r>
    </w:p>
    <w:p>
      <w:pPr>
        <w:pStyle w:val="Heading3"/>
        <w:spacing w:after="100" w:before="200"/>
      </w:pPr>
      <w:r>
        <w:t xml:space="preserve">正股类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F3B52" w:val="clear"/>
            <w:vAlign w:val="center"/>
          </w:tcPr>
          <w:p>
            <w:r>
              <w:rPr>
                <w:b/>
                <w:bCs/>
                <w:color w:val="FFFFFF"/>
                <w:sz w:val="20"/>
                <w:szCs w:val="20"/>
              </w:rPr>
              <w:t xml:space="preserve">字段</w:t>
            </w:r>
          </w:p>
        </w:tc>
        <w:tc>
          <w:tcPr>
            <w:tcW w:type="dxa" w:w="5826"/>
            <w:shd w:fill="2F3B52" w:val="clear"/>
            <w:vAlign w:val="center"/>
          </w:tcPr>
          <w:p>
            <w:r>
              <w:rPr>
                <w:b/>
                <w:bCs/>
                <w:color w:val="FFFFFF"/>
                <w:sz w:val="20"/>
                <w:szCs w:val="20"/>
              </w:rPr>
              <w:t xml:space="preserve">说明</w:t>
            </w:r>
          </w:p>
        </w:tc>
      </w:tr>
      <w:tr>
        <w:tc>
          <w:tcPr>
            <w:tcW w:type="dxa" w:w="3200"/>
            <w:vAlign w:val="center"/>
          </w:tcPr>
          <w:p>
            <w:r>
              <w:rPr>
                <w:b w:val="false"/>
                <w:bCs w:val="false"/>
                <w:sz w:val="20"/>
                <w:szCs w:val="20"/>
              </w:rPr>
              <w:t xml:space="preserve">last / bid_ask</w:t>
            </w:r>
          </w:p>
        </w:tc>
        <w:tc>
          <w:tcPr>
            <w:tcW w:type="dxa" w:w="5826"/>
            <w:vAlign w:val="center"/>
          </w:tcPr>
          <w:p>
            <w:r>
              <w:rPr>
                <w:b w:val="false"/>
                <w:bCs w:val="false"/>
                <w:sz w:val="20"/>
                <w:szCs w:val="20"/>
              </w:rPr>
              <w:t xml:space="preserve">最新价、买卖价</w:t>
            </w:r>
          </w:p>
        </w:tc>
      </w:tr>
      <w:tr>
        <w:tc>
          <w:tcPr>
            <w:tcW w:type="dxa" w:w="3200"/>
            <w:vAlign w:val="center"/>
          </w:tcPr>
          <w:p>
            <w:r>
              <w:rPr>
                <w:b w:val="false"/>
                <w:bCs w:val="false"/>
                <w:sz w:val="20"/>
                <w:szCs w:val="20"/>
              </w:rPr>
              <w:t xml:space="preserve">change / prior_close</w:t>
            </w:r>
          </w:p>
        </w:tc>
        <w:tc>
          <w:tcPr>
            <w:tcW w:type="dxa" w:w="5826"/>
            <w:vAlign w:val="center"/>
          </w:tcPr>
          <w:p>
            <w:r>
              <w:rPr>
                <w:b w:val="false"/>
                <w:bCs w:val="false"/>
                <w:sz w:val="20"/>
                <w:szCs w:val="20"/>
              </w:rPr>
              <w:t xml:space="preserve">涨跌幅、昨收</w:t>
            </w:r>
          </w:p>
        </w:tc>
      </w:tr>
      <w:tr>
        <w:tc>
          <w:tcPr>
            <w:tcW w:type="dxa" w:w="3200"/>
            <w:vAlign w:val="center"/>
          </w:tcPr>
          <w:p>
            <w:r>
              <w:rPr>
                <w:b w:val="false"/>
                <w:bCs w:val="false"/>
                <w:sz w:val="20"/>
                <w:szCs w:val="20"/>
              </w:rPr>
              <w:t xml:space="preserve">open / high / low</w:t>
            </w:r>
          </w:p>
        </w:tc>
        <w:tc>
          <w:tcPr>
            <w:tcW w:type="dxa" w:w="5826"/>
            <w:vAlign w:val="center"/>
          </w:tcPr>
          <w:p>
            <w:r>
              <w:rPr>
                <w:b w:val="false"/>
                <w:bCs w:val="false"/>
                <w:sz w:val="20"/>
                <w:szCs w:val="20"/>
              </w:rPr>
              <w:t xml:space="preserve">今日开盘、最高、最低</w:t>
            </w:r>
          </w:p>
        </w:tc>
      </w:tr>
      <w:tr>
        <w:tc>
          <w:tcPr>
            <w:tcW w:type="dxa" w:w="3200"/>
            <w:vAlign w:val="center"/>
          </w:tcPr>
          <w:p>
            <w:r>
              <w:rPr>
                <w:b w:val="false"/>
                <w:bCs w:val="false"/>
                <w:sz w:val="20"/>
                <w:szCs w:val="20"/>
              </w:rPr>
              <w:t xml:space="preserve">misc_statistics</w:t>
            </w:r>
          </w:p>
        </w:tc>
        <w:tc>
          <w:tcPr>
            <w:tcW w:type="dxa" w:w="5826"/>
            <w:vAlign w:val="center"/>
          </w:tcPr>
          <w:p>
            <w:r>
              <w:rPr>
                <w:b w:val="false"/>
                <w:bCs w:val="false"/>
                <w:sz w:val="20"/>
                <w:szCs w:val="20"/>
              </w:rPr>
              <w:t xml:space="preserve">13/26/52 周历史高低点</w:t>
            </w:r>
          </w:p>
        </w:tc>
      </w:tr>
      <w:tr>
        <w:tc>
          <w:tcPr>
            <w:tcW w:type="dxa" w:w="3200"/>
            <w:vAlign w:val="center"/>
          </w:tcPr>
          <w:p>
            <w:r>
              <w:rPr>
                <w:b w:val="false"/>
                <w:bCs w:val="false"/>
                <w:sz w:val="20"/>
                <w:szCs w:val="20"/>
              </w:rPr>
              <w:t xml:space="preserve">avg_90d_usd_volume</w:t>
            </w:r>
          </w:p>
        </w:tc>
        <w:tc>
          <w:tcPr>
            <w:tcW w:type="dxa" w:w="5826"/>
            <w:vAlign w:val="center"/>
          </w:tcPr>
          <w:p>
            <w:r>
              <w:rPr>
                <w:b w:val="false"/>
                <w:bCs w:val="false"/>
                <w:sz w:val="20"/>
                <w:szCs w:val="20"/>
              </w:rPr>
              <w:t xml:space="preserve">90 天平均成交额</w:t>
            </w:r>
          </w:p>
        </w:tc>
      </w:tr>
      <w:tr>
        <w:tc>
          <w:tcPr>
            <w:tcW w:type="dxa" w:w="3200"/>
            <w:vAlign w:val="center"/>
          </w:tcPr>
          <w:p>
            <w:r>
              <w:rPr>
                <w:b w:val="false"/>
                <w:bCs w:val="false"/>
                <w:sz w:val="20"/>
                <w:szCs w:val="20"/>
              </w:rPr>
              <w:t xml:space="preserve">cumulative_perf_1d/1w/1m/ytd/1y/3y/5y</w:t>
            </w:r>
          </w:p>
        </w:tc>
        <w:tc>
          <w:tcPr>
            <w:tcW w:type="dxa" w:w="5826"/>
            <w:vAlign w:val="center"/>
          </w:tcPr>
          <w:p>
            <w:r>
              <w:rPr>
                <w:b w:val="false"/>
                <w:bCs w:val="false"/>
                <w:sz w:val="20"/>
                <w:szCs w:val="20"/>
              </w:rPr>
              <w:t xml:space="preserve">各周期累计收益率</w:t>
            </w:r>
          </w:p>
        </w:tc>
      </w:tr>
      <w:tr>
        <w:tc>
          <w:tcPr>
            <w:tcW w:type="dxa" w:w="3200"/>
            <w:vAlign w:val="center"/>
          </w:tcPr>
          <w:p>
            <w:r>
              <w:rPr>
                <w:b w:val="false"/>
                <w:bCs w:val="false"/>
                <w:sz w:val="20"/>
                <w:szCs w:val="20"/>
              </w:rPr>
              <w:t xml:space="preserve">历史 OHLCV（get_price_history）</w:t>
            </w:r>
          </w:p>
        </w:tc>
        <w:tc>
          <w:tcPr>
            <w:tcW w:type="dxa" w:w="5826"/>
            <w:vAlign w:val="center"/>
          </w:tcPr>
          <w:p>
            <w:r>
              <w:rPr>
                <w:b w:val="false"/>
                <w:bCs w:val="false"/>
                <w:sz w:val="20"/>
                <w:szCs w:val="20"/>
              </w:rPr>
              <w:t xml:space="preserve">30 秒线到月线，最长 5 年（分钟级实际可回溯天数需实测确认）</w:t>
            </w:r>
          </w:p>
        </w:tc>
      </w:tr>
    </w:tbl>
    <w:p>
      <w:pPr>
        <w:spacing w:after="200"/>
      </w:pPr>
    </w:p>
    <w:p>
      <w:pPr>
        <w:pStyle w:val="Heading3"/>
        <w:spacing w:after="100" w:before="200"/>
      </w:pPr>
      <w:r>
        <w:t xml:space="preserve">期权类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F3B52" w:val="clear"/>
            <w:vAlign w:val="center"/>
          </w:tcPr>
          <w:p>
            <w:r>
              <w:rPr>
                <w:b/>
                <w:bCs/>
                <w:color w:val="FFFFFF"/>
                <w:sz w:val="20"/>
                <w:szCs w:val="20"/>
              </w:rPr>
              <w:t xml:space="preserve">字段</w:t>
            </w:r>
          </w:p>
        </w:tc>
        <w:tc>
          <w:tcPr>
            <w:tcW w:type="dxa" w:w="5826"/>
            <w:shd w:fill="2F3B52" w:val="clear"/>
            <w:vAlign w:val="center"/>
          </w:tcPr>
          <w:p>
            <w:r>
              <w:rPr>
                <w:b/>
                <w:bCs/>
                <w:color w:val="FFFFFF"/>
                <w:sz w:val="20"/>
                <w:szCs w:val="20"/>
              </w:rPr>
              <w:t xml:space="preserve">说明</w:t>
            </w:r>
          </w:p>
        </w:tc>
      </w:tr>
      <w:tr>
        <w:tc>
          <w:tcPr>
            <w:tcW w:type="dxa" w:w="3200"/>
            <w:vAlign w:val="center"/>
          </w:tcPr>
          <w:p>
            <w:r>
              <w:rPr>
                <w:b w:val="false"/>
                <w:bCs w:val="false"/>
                <w:sz w:val="20"/>
                <w:szCs w:val="20"/>
              </w:rPr>
              <w:t xml:space="preserve">期权链结构（get_option_data）</w:t>
            </w:r>
          </w:p>
        </w:tc>
        <w:tc>
          <w:tcPr>
            <w:tcW w:type="dxa" w:w="5826"/>
            <w:vAlign w:val="center"/>
          </w:tcPr>
          <w:p>
            <w:r>
              <w:rPr>
                <w:b w:val="false"/>
                <w:bCs w:val="false"/>
                <w:sz w:val="20"/>
                <w:szCs w:val="20"/>
              </w:rPr>
              <w:t xml:space="preserve">各到期日执行价、合约 ID</w:t>
            </w:r>
          </w:p>
        </w:tc>
      </w:tr>
      <w:tr>
        <w:tc>
          <w:tcPr>
            <w:tcW w:type="dxa" w:w="3200"/>
            <w:vAlign w:val="center"/>
          </w:tcPr>
          <w:p>
            <w:r>
              <w:rPr>
                <w:b w:val="false"/>
                <w:bCs w:val="false"/>
                <w:sz w:val="20"/>
                <w:szCs w:val="20"/>
              </w:rPr>
              <w:t xml:space="preserve">option_volume / option_open_interest</w:t>
            </w:r>
          </w:p>
        </w:tc>
        <w:tc>
          <w:tcPr>
            <w:tcW w:type="dxa" w:w="5826"/>
            <w:vAlign w:val="center"/>
          </w:tcPr>
          <w:p>
            <w:r>
              <w:rPr>
                <w:b w:val="false"/>
                <w:bCs w:val="false"/>
                <w:sz w:val="20"/>
                <w:szCs w:val="20"/>
              </w:rPr>
              <w:t xml:space="preserve">单张合约成交量、未平仓量</w:t>
            </w:r>
          </w:p>
        </w:tc>
      </w:tr>
      <w:tr>
        <w:tc>
          <w:tcPr>
            <w:tcW w:type="dxa" w:w="3200"/>
            <w:vAlign w:val="center"/>
          </w:tcPr>
          <w:p>
            <w:r>
              <w:rPr>
                <w:b w:val="false"/>
                <w:bCs w:val="false"/>
                <w:sz w:val="20"/>
                <w:szCs w:val="20"/>
              </w:rPr>
              <w:t xml:space="preserve">option_midpoint_iv / implied_vol</w:t>
            </w:r>
          </w:p>
        </w:tc>
        <w:tc>
          <w:tcPr>
            <w:tcW w:type="dxa" w:w="5826"/>
            <w:vAlign w:val="center"/>
          </w:tcPr>
          <w:p>
            <w:r>
              <w:rPr>
                <w:b w:val="false"/>
                <w:bCs w:val="false"/>
                <w:sz w:val="20"/>
                <w:szCs w:val="20"/>
              </w:rPr>
              <w:t xml:space="preserve">单张合约隐含波动率</w:t>
            </w:r>
          </w:p>
        </w:tc>
      </w:tr>
      <w:tr>
        <w:tc>
          <w:tcPr>
            <w:tcW w:type="dxa" w:w="3200"/>
            <w:vAlign w:val="center"/>
          </w:tcPr>
          <w:p>
            <w:r>
              <w:rPr>
                <w:b w:val="false"/>
                <w:bCs w:val="false"/>
                <w:sz w:val="20"/>
                <w:szCs w:val="20"/>
              </w:rPr>
              <w:t xml:space="preserve">implied_vol_underlying</w:t>
            </w:r>
          </w:p>
        </w:tc>
        <w:tc>
          <w:tcPr>
            <w:tcW w:type="dxa" w:w="5826"/>
            <w:vAlign w:val="center"/>
          </w:tcPr>
          <w:p>
            <w:r>
              <w:rPr>
                <w:b w:val="false"/>
                <w:bCs w:val="false"/>
                <w:sz w:val="20"/>
                <w:szCs w:val="20"/>
              </w:rPr>
              <w:t xml:space="preserve">标的整体隐含波动率</w:t>
            </w:r>
          </w:p>
        </w:tc>
      </w:tr>
      <w:tr>
        <w:tc>
          <w:tcPr>
            <w:tcW w:type="dxa" w:w="3200"/>
            <w:vAlign w:val="center"/>
          </w:tcPr>
          <w:p>
            <w:r>
              <w:rPr>
                <w:b w:val="false"/>
                <w:bCs w:val="false"/>
                <w:sz w:val="20"/>
                <w:szCs w:val="20"/>
              </w:rPr>
              <w:t xml:space="preserve">implied_volatility_percentile</w:t>
            </w:r>
          </w:p>
        </w:tc>
        <w:tc>
          <w:tcPr>
            <w:tcW w:type="dxa" w:w="5826"/>
            <w:vAlign w:val="center"/>
          </w:tcPr>
          <w:p>
            <w:r>
              <w:rPr>
                <w:b w:val="false"/>
                <w:bCs w:val="false"/>
                <w:sz w:val="20"/>
                <w:szCs w:val="20"/>
              </w:rPr>
              <w:t xml:space="preserve">IV 百分位（13/26/52 周），现成给出，无需自建历史 IV 仓库</w:t>
            </w:r>
          </w:p>
        </w:tc>
      </w:tr>
      <w:tr>
        <w:tc>
          <w:tcPr>
            <w:tcW w:type="dxa" w:w="3200"/>
            <w:vAlign w:val="center"/>
          </w:tcPr>
          <w:p>
            <w:r>
              <w:rPr>
                <w:b w:val="false"/>
                <w:bCs w:val="false"/>
                <w:sz w:val="20"/>
                <w:szCs w:val="20"/>
              </w:rPr>
              <w:t xml:space="preserve">historical_vol</w:t>
            </w:r>
          </w:p>
        </w:tc>
        <w:tc>
          <w:tcPr>
            <w:tcW w:type="dxa" w:w="5826"/>
            <w:vAlign w:val="center"/>
          </w:tcPr>
          <w:p>
            <w:r>
              <w:rPr>
                <w:b w:val="false"/>
                <w:bCs w:val="false"/>
                <w:sz w:val="20"/>
                <w:szCs w:val="20"/>
              </w:rPr>
              <w:t xml:space="preserve">30 天历史波动率</w:t>
            </w:r>
          </w:p>
        </w:tc>
      </w:tr>
      <w:tr>
        <w:tc>
          <w:tcPr>
            <w:tcW w:type="dxa" w:w="3200"/>
            <w:vAlign w:val="center"/>
          </w:tcPr>
          <w:p>
            <w:r>
              <w:rPr>
                <w:b w:val="false"/>
                <w:bCs w:val="false"/>
                <w:sz w:val="20"/>
                <w:szCs w:val="20"/>
              </w:rPr>
              <w:t xml:space="preserve">underlying_today/avg_option_volume</w:t>
            </w:r>
          </w:p>
        </w:tc>
        <w:tc>
          <w:tcPr>
            <w:tcW w:type="dxa" w:w="5826"/>
            <w:vAlign w:val="center"/>
          </w:tcPr>
          <w:p>
            <w:r>
              <w:rPr>
                <w:b w:val="false"/>
                <w:bCs w:val="false"/>
                <w:sz w:val="20"/>
                <w:szCs w:val="20"/>
              </w:rPr>
              <w:t xml:space="preserve">标的整体期权成交量（今日 / 均值）</w:t>
            </w:r>
          </w:p>
        </w:tc>
      </w:tr>
    </w:tbl>
    <w:p>
      <w:pPr>
        <w:spacing w:after="200"/>
      </w:pPr>
    </w:p>
    <w:p>
      <w:pPr>
        <w:shd w:fill="FFF6DC" w:val="clear"/>
        <w:spacing w:after="150"/>
      </w:pPr>
      <w:r>
        <w:rPr>
          <w:i/>
          <w:iCs/>
          <w:color w:val="806000"/>
        </w:rPr>
        <w:t xml:space="preserve">待实测确认（非已验证事实）：① 账户市场数据订阅等级是否为实时而非延迟；② 分钟/秒级历史数据实际可回溯天数；③ 该 MCP 连接器是否暴露 Delta/Gamma/Theta/Vega 原始字段（目前未见，需核实 TWS 原生 API 是否有更完整字段）；④ get_price_snapshot 是否包含停牌状态标记。</w:t>
      </w:r>
    </w:p>
    <w:p>
      <w:pPr>
        <w:pStyle w:val="Heading2"/>
        <w:spacing w:after="150" w:before="300"/>
      </w:pPr>
      <w:r>
        <w:t xml:space="preserve">3.2 Finnhub（免费层）</w:t>
      </w:r>
    </w:p>
    <w:p>
      <w:pPr>
        <w:pStyle w:val="ListParagraph"/>
        <w:numPr>
          <w:ilvl w:val="0"/>
          <w:numId w:val="2"/>
        </w:numPr>
        <w:spacing w:after="80"/>
      </w:pPr>
      <w:r>
        <w:t xml:space="preserve">财报日历 + 历史财报意外幅度（EPS / 营收 actual vs estimate，回溯至 2000 年）</w:t>
      </w:r>
    </w:p>
    <w:p>
      <w:pPr>
        <w:pStyle w:val="ListParagraph"/>
        <w:numPr>
          <w:ilvl w:val="0"/>
          <w:numId w:val="2"/>
        </w:numPr>
        <w:spacing w:after="80"/>
      </w:pPr>
      <w:r>
        <w:t xml:space="preserve">分析师目标价、评级升降</w:t>
      </w:r>
    </w:p>
    <w:p>
      <w:pPr>
        <w:pStyle w:val="ListParagraph"/>
        <w:numPr>
          <w:ilvl w:val="0"/>
          <w:numId w:val="2"/>
        </w:numPr>
        <w:spacing w:after="80"/>
      </w:pPr>
      <w:r>
        <w:t xml:space="preserve">社交媒体情绪打分（Reddit / Twitter，MSPR sentiment）</w:t>
      </w:r>
    </w:p>
    <w:p>
      <w:pPr>
        <w:pStyle w:val="ListParagraph"/>
        <w:numPr>
          <w:ilvl w:val="0"/>
          <w:numId w:val="2"/>
        </w:numPr>
        <w:spacing w:after="80"/>
      </w:pPr>
      <w:r>
        <w:t xml:space="preserve">公司新闻（非结构化，存在延迟，日内短线场景不建议依赖）</w:t>
      </w:r>
    </w:p>
    <w:p>
      <w:pPr>
        <w:shd w:fill="FFF6DC" w:val="clear"/>
        <w:spacing w:after="150"/>
      </w:pPr>
      <w:r>
        <w:rPr>
          <w:i/>
          <w:iCs/>
          <w:color w:val="806000"/>
        </w:rPr>
        <w:t xml:space="preserve">限制：免费层 60 次/分钟调用频率，分析师"预期修正趋势"这类深度时间序列数据免费层覆盖程度需实测确认。</w:t>
      </w:r>
    </w:p>
    <w:p>
      <w:pPr>
        <w:pStyle w:val="Heading2"/>
        <w:spacing w:after="150" w:before="300"/>
      </w:pPr>
      <w:r>
        <w:t xml:space="preserve">3.3 官方免费源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shd w:fill="2F3B52" w:val="clear"/>
            <w:vAlign w:val="center"/>
          </w:tcPr>
          <w:p>
            <w:r>
              <w:rPr>
                <w:b/>
                <w:bCs/>
                <w:color w:val="FFFFFF"/>
                <w:sz w:val="20"/>
                <w:szCs w:val="20"/>
              </w:rPr>
              <w:t xml:space="preserve">数据</w:t>
            </w:r>
          </w:p>
        </w:tc>
        <w:tc>
          <w:tcPr>
            <w:tcW w:type="dxa" w:w="2400"/>
            <w:shd w:fill="2F3B52" w:val="clear"/>
            <w:vAlign w:val="center"/>
          </w:tcPr>
          <w:p>
            <w:r>
              <w:rPr>
                <w:b/>
                <w:bCs/>
                <w:color w:val="FFFFFF"/>
                <w:sz w:val="20"/>
                <w:szCs w:val="20"/>
              </w:rPr>
              <w:t xml:space="preserve">来源</w:t>
            </w:r>
          </w:p>
        </w:tc>
        <w:tc>
          <w:tcPr>
            <w:tcW w:type="dxa" w:w="4226"/>
            <w:shd w:fill="2F3B52" w:val="clear"/>
            <w:vAlign w:val="center"/>
          </w:tcPr>
          <w:p>
            <w:r>
              <w:rPr>
                <w:b/>
                <w:bCs/>
                <w:color w:val="FFFFFF"/>
                <w:sz w:val="20"/>
                <w:szCs w:val="20"/>
              </w:rPr>
              <w:t xml:space="preserve">用途</w:t>
            </w:r>
          </w:p>
        </w:tc>
      </w:tr>
      <w:tr>
        <w:tc>
          <w:tcPr>
            <w:tcW w:type="dxa" w:w="2400"/>
            <w:vAlign w:val="center"/>
          </w:tcPr>
          <w:p>
            <w:r>
              <w:rPr>
                <w:b w:val="false"/>
                <w:bCs w:val="false"/>
                <w:sz w:val="20"/>
                <w:szCs w:val="20"/>
              </w:rPr>
              <w:t xml:space="preserve">8-K 临时公告</w:t>
            </w:r>
          </w:p>
        </w:tc>
        <w:tc>
          <w:tcPr>
            <w:tcW w:type="dxa" w:w="2400"/>
            <w:vAlign w:val="center"/>
          </w:tcPr>
          <w:p>
            <w:r>
              <w:rPr>
                <w:b w:val="false"/>
                <w:bCs w:val="false"/>
                <w:sz w:val="20"/>
                <w:szCs w:val="20"/>
              </w:rPr>
              <w:t xml:space="preserve">SEC EDGAR</w:t>
            </w:r>
          </w:p>
        </w:tc>
        <w:tc>
          <w:tcPr>
            <w:tcW w:type="dxa" w:w="4226"/>
            <w:vAlign w:val="center"/>
          </w:tcPr>
          <w:p>
            <w:r>
              <w:rPr>
                <w:b w:val="false"/>
                <w:bCs w:val="false"/>
                <w:sz w:val="20"/>
                <w:szCs w:val="20"/>
              </w:rPr>
              <w:t xml:space="preserve">重大事件披露（需自行解析）</w:t>
            </w:r>
          </w:p>
        </w:tc>
      </w:tr>
      <w:tr>
        <w:tc>
          <w:tcPr>
            <w:tcW w:type="dxa" w:w="2400"/>
            <w:vAlign w:val="center"/>
          </w:tcPr>
          <w:p>
            <w:r>
              <w:rPr>
                <w:b w:val="false"/>
                <w:bCs w:val="false"/>
                <w:sz w:val="20"/>
                <w:szCs w:val="20"/>
              </w:rPr>
              <w:t xml:space="preserve">Form 4 内幕交易</w:t>
            </w:r>
          </w:p>
        </w:tc>
        <w:tc>
          <w:tcPr>
            <w:tcW w:type="dxa" w:w="2400"/>
            <w:vAlign w:val="center"/>
          </w:tcPr>
          <w:p>
            <w:r>
              <w:rPr>
                <w:b w:val="false"/>
                <w:bCs w:val="false"/>
                <w:sz w:val="20"/>
                <w:szCs w:val="20"/>
              </w:rPr>
              <w:t xml:space="preserve">SEC EDGAR</w:t>
            </w:r>
          </w:p>
        </w:tc>
        <w:tc>
          <w:tcPr>
            <w:tcW w:type="dxa" w:w="4226"/>
            <w:vAlign w:val="center"/>
          </w:tcPr>
          <w:p>
            <w:r>
              <w:rPr>
                <w:b w:val="false"/>
                <w:bCs w:val="false"/>
                <w:sz w:val="20"/>
                <w:szCs w:val="20"/>
              </w:rPr>
              <w:t xml:space="preserve">高管/大股东买卖披露（需自行解析）</w:t>
            </w:r>
          </w:p>
        </w:tc>
      </w:tr>
      <w:tr>
        <w:tc>
          <w:tcPr>
            <w:tcW w:type="dxa" w:w="2400"/>
            <w:vAlign w:val="center"/>
          </w:tcPr>
          <w:p>
            <w:r>
              <w:rPr>
                <w:b w:val="false"/>
                <w:bCs w:val="false"/>
                <w:sz w:val="20"/>
                <w:szCs w:val="20"/>
              </w:rPr>
              <w:t xml:space="preserve">OpEx / Triple Witching 日历</w:t>
            </w:r>
          </w:p>
        </w:tc>
        <w:tc>
          <w:tcPr>
            <w:tcW w:type="dxa" w:w="2400"/>
            <w:vAlign w:val="center"/>
          </w:tcPr>
          <w:p>
            <w:r>
              <w:rPr>
                <w:b w:val="false"/>
                <w:bCs w:val="false"/>
                <w:sz w:val="20"/>
                <w:szCs w:val="20"/>
              </w:rPr>
              <w:t xml:space="preserve">交易所公开规则</w:t>
            </w:r>
          </w:p>
        </w:tc>
        <w:tc>
          <w:tcPr>
            <w:tcW w:type="dxa" w:w="4226"/>
            <w:vAlign w:val="center"/>
          </w:tcPr>
          <w:p>
            <w:r>
              <w:rPr>
                <w:b w:val="false"/>
                <w:bCs w:val="false"/>
                <w:sz w:val="20"/>
                <w:szCs w:val="20"/>
              </w:rPr>
              <w:t xml:space="preserve">Gamma pinning 效应判断</w:t>
            </w:r>
          </w:p>
        </w:tc>
      </w:tr>
      <w:tr>
        <w:tc>
          <w:tcPr>
            <w:tcW w:type="dxa" w:w="2400"/>
            <w:vAlign w:val="center"/>
          </w:tcPr>
          <w:p>
            <w:r>
              <w:rPr>
                <w:b w:val="false"/>
                <w:bCs w:val="false"/>
                <w:sz w:val="20"/>
                <w:szCs w:val="20"/>
              </w:rPr>
              <w:t xml:space="preserve">除权除息日</w:t>
            </w:r>
          </w:p>
        </w:tc>
        <w:tc>
          <w:tcPr>
            <w:tcW w:type="dxa" w:w="2400"/>
            <w:vAlign w:val="center"/>
          </w:tcPr>
          <w:p>
            <w:r>
              <w:rPr>
                <w:b w:val="false"/>
                <w:bCs w:val="false"/>
                <w:sz w:val="20"/>
                <w:szCs w:val="20"/>
              </w:rPr>
              <w:t xml:space="preserve">IBKR 合约信息 / 公司 IR</w:t>
            </w:r>
          </w:p>
        </w:tc>
        <w:tc>
          <w:tcPr>
            <w:tcW w:type="dxa" w:w="4226"/>
            <w:vAlign w:val="center"/>
          </w:tcPr>
          <w:p>
            <w:r>
              <w:rPr>
                <w:b w:val="false"/>
                <w:bCs w:val="false"/>
                <w:sz w:val="20"/>
                <w:szCs w:val="20"/>
              </w:rPr>
              <w:t xml:space="preserve">covered call 提前指派风险</w:t>
            </w:r>
          </w:p>
        </w:tc>
      </w:tr>
      <w:tr>
        <w:tc>
          <w:tcPr>
            <w:tcW w:type="dxa" w:w="2400"/>
            <w:vAlign w:val="center"/>
          </w:tcPr>
          <w:p>
            <w:r>
              <w:rPr>
                <w:b w:val="false"/>
                <w:bCs w:val="false"/>
                <w:sz w:val="20"/>
                <w:szCs w:val="20"/>
              </w:rPr>
              <w:t xml:space="preserve">指数再平衡公告</w:t>
            </w:r>
          </w:p>
        </w:tc>
        <w:tc>
          <w:tcPr>
            <w:tcW w:type="dxa" w:w="2400"/>
            <w:vAlign w:val="center"/>
          </w:tcPr>
          <w:p>
            <w:r>
              <w:rPr>
                <w:b w:val="false"/>
                <w:bCs w:val="false"/>
                <w:sz w:val="20"/>
                <w:szCs w:val="20"/>
              </w:rPr>
              <w:t xml:space="preserve">Nasdaq 官网</w:t>
            </w:r>
          </w:p>
        </w:tc>
        <w:tc>
          <w:tcPr>
            <w:tcW w:type="dxa" w:w="4226"/>
            <w:vAlign w:val="center"/>
          </w:tcPr>
          <w:p>
            <w:r>
              <w:rPr>
                <w:b w:val="false"/>
                <w:bCs w:val="false"/>
                <w:sz w:val="20"/>
                <w:szCs w:val="20"/>
              </w:rPr>
              <w:t xml:space="preserve">TQQQ/SQQQ 对手盘调仓压力预警</w:t>
            </w:r>
          </w:p>
        </w:tc>
      </w:tr>
      <w:tr>
        <w:tc>
          <w:tcPr>
            <w:tcW w:type="dxa" w:w="2400"/>
            <w:vAlign w:val="center"/>
          </w:tcPr>
          <w:p>
            <w:r>
              <w:rPr>
                <w:b w:val="false"/>
                <w:bCs w:val="false"/>
                <w:sz w:val="20"/>
                <w:szCs w:val="20"/>
              </w:rPr>
              <w:t xml:space="preserve">FOMC / CPI / NFP / PCE 日程</w:t>
            </w:r>
          </w:p>
        </w:tc>
        <w:tc>
          <w:tcPr>
            <w:tcW w:type="dxa" w:w="2400"/>
            <w:vAlign w:val="center"/>
          </w:tcPr>
          <w:p>
            <w:r>
              <w:rPr>
                <w:b w:val="false"/>
                <w:bCs w:val="false"/>
                <w:sz w:val="20"/>
                <w:szCs w:val="20"/>
              </w:rPr>
              <w:t xml:space="preserve">美联储官网 / BLS 官网</w:t>
            </w:r>
          </w:p>
        </w:tc>
        <w:tc>
          <w:tcPr>
            <w:tcW w:type="dxa" w:w="4226"/>
            <w:vAlign w:val="center"/>
          </w:tcPr>
          <w:p>
            <w:r>
              <w:rPr>
                <w:b w:val="false"/>
                <w:bCs w:val="false"/>
                <w:sz w:val="20"/>
                <w:szCs w:val="20"/>
              </w:rPr>
              <w:t xml:space="preserve">宏观事件规避</w:t>
            </w:r>
          </w:p>
        </w:tc>
      </w:tr>
      <w:tr>
        <w:tc>
          <w:tcPr>
            <w:tcW w:type="dxa" w:w="2400"/>
            <w:vAlign w:val="center"/>
          </w:tcPr>
          <w:p>
            <w:r>
              <w:rPr>
                <w:b w:val="false"/>
                <w:bCs w:val="false"/>
                <w:sz w:val="20"/>
                <w:szCs w:val="20"/>
              </w:rPr>
              <w:t xml:space="preserve">Short Interest（延迟约两周）</w:t>
            </w:r>
          </w:p>
        </w:tc>
        <w:tc>
          <w:tcPr>
            <w:tcW w:type="dxa" w:w="2400"/>
            <w:vAlign w:val="center"/>
          </w:tcPr>
          <w:p>
            <w:r>
              <w:rPr>
                <w:b w:val="false"/>
                <w:bCs w:val="false"/>
                <w:sz w:val="20"/>
                <w:szCs w:val="20"/>
              </w:rPr>
              <w:t xml:space="preserve">FINRA</w:t>
            </w:r>
          </w:p>
        </w:tc>
        <w:tc>
          <w:tcPr>
            <w:tcW w:type="dxa" w:w="4226"/>
            <w:vAlign w:val="center"/>
          </w:tcPr>
          <w:p>
            <w:r>
              <w:rPr>
                <w:b w:val="false"/>
                <w:bCs w:val="false"/>
                <w:sz w:val="20"/>
                <w:szCs w:val="20"/>
              </w:rPr>
              <w:t xml:space="preserve">逼空判断（延迟版，非实时）</w:t>
            </w:r>
          </w:p>
        </w:tc>
      </w:tr>
    </w:tbl>
    <w:p>
      <w:pPr>
        <w:pStyle w:val="Heading1"/>
        <w:spacing w:after="200" w:before="400"/>
      </w:pPr>
      <w:r>
        <w:t xml:space="preserve">4. ADOS Engine 自算指标清单</w:t>
      </w:r>
    </w:p>
    <w:p>
      <w:pPr>
        <w:spacing w:after="150"/>
      </w:pPr>
      <w:r>
        <w:t xml:space="preserve">以下指标全部使用第 3 章数据源计算，不产生额外数据采购成本，但需要在 Engine 层实现计算逻辑：</w:t>
      </w:r>
    </w:p>
    <w:p>
      <w:pPr>
        <w:pStyle w:val="Heading2"/>
        <w:spacing w:after="150" w:before="300"/>
      </w:pPr>
      <w:r>
        <w:t xml:space="preserve">4.1 通用基础指标</w:t>
      </w:r>
    </w:p>
    <w:p>
      <w:pPr>
        <w:pStyle w:val="ListParagraph"/>
        <w:numPr>
          <w:ilvl w:val="0"/>
          <w:numId w:val="2"/>
        </w:numPr>
        <w:spacing w:after="80"/>
      </w:pPr>
      <w:r>
        <w:t xml:space="preserve">VWAP、Volume Profile、POC、Value Area</w:t>
      </w:r>
    </w:p>
    <w:p>
      <w:pPr>
        <w:pStyle w:val="ListParagraph"/>
        <w:numPr>
          <w:ilvl w:val="0"/>
          <w:numId w:val="2"/>
        </w:numPr>
        <w:spacing w:after="80"/>
      </w:pPr>
      <w:r>
        <w:t xml:space="preserve">Put/Call Ratio</w:t>
      </w:r>
    </w:p>
    <w:p>
      <w:pPr>
        <w:pStyle w:val="ListParagraph"/>
        <w:numPr>
          <w:ilvl w:val="0"/>
          <w:numId w:val="2"/>
        </w:numPr>
        <w:spacing w:after="80"/>
      </w:pPr>
      <w:r>
        <w:t xml:space="preserve">Max Pain（基于期权 OI 汇总）</w:t>
      </w:r>
    </w:p>
    <w:p>
      <w:pPr>
        <w:pStyle w:val="ListParagraph"/>
        <w:numPr>
          <w:ilvl w:val="0"/>
          <w:numId w:val="2"/>
        </w:numPr>
        <w:spacing w:after="80"/>
      </w:pPr>
      <w:r>
        <w:t xml:space="preserve">Bull Score / Bear Score / Risk Score / Confidence Score（自研加权评分）</w:t>
      </w:r>
    </w:p>
    <w:p>
      <w:pPr>
        <w:pStyle w:val="Heading2"/>
        <w:spacing w:after="150" w:before="300"/>
      </w:pPr>
      <w:r>
        <w:t xml:space="preserve">4.2 日内短线场景补充</w:t>
      </w:r>
    </w:p>
    <w:p>
      <w:pPr>
        <w:pStyle w:val="ListParagraph"/>
        <w:numPr>
          <w:ilvl w:val="0"/>
          <w:numId w:val="2"/>
        </w:numPr>
        <w:spacing w:after="80"/>
      </w:pPr>
      <w:r>
        <w:t xml:space="preserve">ATR（真实波动幅度）—— 用于动态止损，避免固定点位止损脱离实际波动率</w:t>
      </w:r>
    </w:p>
    <w:p>
      <w:pPr>
        <w:pStyle w:val="Heading2"/>
        <w:spacing w:after="150" w:before="300"/>
      </w:pPr>
      <w:r>
        <w:t xml:space="preserve">4.3 波段 / 趋势场景补充</w:t>
      </w:r>
    </w:p>
    <w:p>
      <w:pPr>
        <w:pStyle w:val="ListParagraph"/>
        <w:numPr>
          <w:ilvl w:val="0"/>
          <w:numId w:val="2"/>
        </w:numPr>
        <w:spacing w:after="80"/>
      </w:pPr>
      <w:r>
        <w:t xml:space="preserve">相对强度 RS（个股涨幅 / 大盘或板块涨幅比值）</w:t>
      </w:r>
    </w:p>
    <w:p>
      <w:pPr>
        <w:pStyle w:val="Heading2"/>
        <w:spacing w:after="150" w:before="300"/>
      </w:pPr>
      <w:r>
        <w:t xml:space="preserve">4.4 期权策略场景补充</w:t>
      </w:r>
    </w:p>
    <w:p>
      <w:pPr>
        <w:pStyle w:val="ListParagraph"/>
        <w:numPr>
          <w:ilvl w:val="0"/>
          <w:numId w:val="2"/>
        </w:numPr>
        <w:spacing w:after="80"/>
      </w:pPr>
      <w:r>
        <w:t xml:space="preserve">IV Skew（同一到期日不同执行价的 IV 分布斜率）—— 判断市场方向偏向，指导 spread 选边</w:t>
      </w:r>
    </w:p>
    <w:p>
      <w:pPr>
        <w:pStyle w:val="ListParagraph"/>
        <w:numPr>
          <w:ilvl w:val="0"/>
          <w:numId w:val="2"/>
        </w:numPr>
        <w:spacing w:after="80"/>
      </w:pPr>
      <w:r>
        <w:t xml:space="preserve">IV Term Structure（不同到期日 IV 的相对高低）—— 判断使用 calendar spread 还是单腿</w:t>
      </w:r>
    </w:p>
    <w:p>
      <w:pPr>
        <w:pStyle w:val="ListParagraph"/>
        <w:numPr>
          <w:ilvl w:val="0"/>
          <w:numId w:val="2"/>
        </w:numPr>
        <w:spacing w:after="80"/>
      </w:pPr>
      <w:r>
        <w:t xml:space="preserve">Greeks（Delta/Gamma/Theta/Vega）—— 用已获取的 implied_vol 反推 Black-Scholes 计算，常规 spread/covered call 选 strike 依赖 Delta，此项从"可选"上升为"刚需"</w:t>
      </w:r>
    </w:p>
    <w:p>
      <w:pPr>
        <w:pStyle w:val="ListParagraph"/>
        <w:numPr>
          <w:ilvl w:val="0"/>
          <w:numId w:val="2"/>
        </w:numPr>
        <w:spacing w:after="80"/>
      </w:pPr>
      <w:r>
        <w:t xml:space="preserve">GEX / Dealer Gamma Estimate / Gamma Wall（估算性质，需标注为假设模型，不作为唯一依据）</w:t>
      </w:r>
    </w:p>
    <w:p>
      <w:pPr>
        <w:pStyle w:val="Heading2"/>
        <w:spacing w:after="150" w:before="300"/>
      </w:pPr>
      <w:r>
        <w:t xml:space="preserve">4.5 杠杆 ETF 对冲场景补充</w:t>
      </w:r>
    </w:p>
    <w:p>
      <w:pPr>
        <w:pStyle w:val="ListParagraph"/>
        <w:numPr>
          <w:ilvl w:val="0"/>
          <w:numId w:val="2"/>
        </w:numPr>
        <w:spacing w:after="80"/>
      </w:pPr>
      <w:r>
        <w:t xml:space="preserve">杠杆 ETF 波动率损耗率 —— 用历史价格回归出实际日损耗率（非理论 ×3），横盘行情下的结构性成本</w:t>
      </w:r>
    </w:p>
    <w:p>
      <w:pPr>
        <w:pStyle w:val="ListParagraph"/>
        <w:numPr>
          <w:ilvl w:val="0"/>
          <w:numId w:val="2"/>
        </w:numPr>
        <w:spacing w:after="80"/>
      </w:pPr>
      <w:r>
        <w:t xml:space="preserve">VIX 期限结构（VIX9D / VIX / VIX3M 相对关系，contango vs backwardation）—— 优于单看 VIX 绝对值的 regime 转折预警</w:t>
      </w:r>
    </w:p>
    <w:p>
      <w:pPr>
        <w:pStyle w:val="Heading2"/>
        <w:spacing w:after="150" w:before="300"/>
      </w:pPr>
      <w:r>
        <w:t xml:space="preserve">4.6 核心公式详解</w:t>
      </w:r>
    </w:p>
    <w:p>
      <w:pPr>
        <w:spacing w:after="150"/>
      </w:pPr>
      <w:r>
        <w:t xml:space="preserve">本节记录关键指标的具体计算公式，供实现时对照。公式本身为确定性数学计算，可用已知案例核对实现是否正确；但部分指标（标注见下）背后的"有效性假设"仍需第 6 章回测框架验证，公式正确不等于信号有效。</w:t>
      </w:r>
    </w:p>
    <w:p>
      <w:pPr>
        <w:pStyle w:val="Heading3"/>
        <w:spacing w:after="100" w:before="200"/>
      </w:pPr>
      <w:r>
        <w:t xml:space="preserve">VWAP（成交量加权均价）</w:t>
      </w:r>
    </w:p>
    <w:p>
      <w:pPr>
        <w:spacing w:after="150"/>
      </w:pPr>
      <w:r>
        <w:t xml:space="preserve">典型价格 = (最高价 + 最低价 + 收盘价) / 3</w:t>
      </w:r>
    </w:p>
    <w:p>
      <w:pPr>
        <w:spacing w:after="150"/>
      </w:pPr>
      <w:r>
        <w:t xml:space="preserve">VWAP = Σ(典型价格 × 成交量) / Σ(成交量)，每个交易日从开盘归零重新累计。</w:t>
      </w:r>
    </w:p>
    <w:p>
      <w:pPr>
        <w:pStyle w:val="Heading3"/>
        <w:spacing w:after="100" w:before="200"/>
      </w:pPr>
      <w:r>
        <w:t xml:space="preserve">Volume Profile / POC / Value Area</w:t>
      </w:r>
    </w:p>
    <w:p>
      <w:pPr>
        <w:pStyle w:val="ListParagraph"/>
        <w:numPr>
          <w:ilvl w:val="0"/>
          <w:numId w:val="2"/>
        </w:numPr>
        <w:spacing w:after="80"/>
      </w:pPr>
      <w:r>
        <w:t xml:space="preserve">将价格区间切分为固定宽度的价格桶，每根 K 线的成交量按其价格区间分配到对应桶</w:t>
      </w:r>
    </w:p>
    <w:p>
      <w:pPr>
        <w:pStyle w:val="ListParagraph"/>
        <w:numPr>
          <w:ilvl w:val="0"/>
          <w:numId w:val="2"/>
        </w:numPr>
        <w:spacing w:after="80"/>
      </w:pPr>
      <w:r>
        <w:t xml:space="preserve">POC（控制点）= 累计成交量最大的价格桶</w:t>
      </w:r>
    </w:p>
    <w:p>
      <w:pPr>
        <w:pStyle w:val="ListParagraph"/>
        <w:numPr>
          <w:ilvl w:val="0"/>
          <w:numId w:val="2"/>
        </w:numPr>
        <w:spacing w:after="80"/>
      </w:pPr>
      <w:r>
        <w:t xml:space="preserve">Value Area（价值区域）= 以 POC 为中心向两侧扩展，累计到总成交量 70% 时停止所覆盖的价格区间</w:t>
      </w:r>
    </w:p>
    <w:p>
      <w:pPr>
        <w:pStyle w:val="Heading3"/>
        <w:spacing w:after="100" w:before="200"/>
      </w:pPr>
      <w:r>
        <w:t xml:space="preserve">Max Pain（最大痛点，假设性质，需第 6 章验证有效性）</w:t>
      </w:r>
    </w:p>
    <w:p>
      <w:pPr>
        <w:spacing w:after="150"/>
      </w:pPr>
      <w:r>
        <w:t xml:space="preserve">对每个候选到期结算价 P：总赔付(P) = Σ[max(0, P－执行价) × 该 Call 未平仓量] + Σ[max(0, 执行价－P) × 该 Put 未平仓量]</w:t>
      </w:r>
    </w:p>
    <w:p>
      <w:pPr>
        <w:spacing w:after="150"/>
      </w:pPr>
      <w:r>
        <w:t xml:space="preserve">Max Pain = 使"总赔付"最小的 P。前提假设：期权卖方（做市商为主）倾向于将结算价引导至该点，此假设在学术与实务界均有争议，不作为唯一决策依据。</w:t>
      </w:r>
    </w:p>
    <w:p>
      <w:pPr>
        <w:pStyle w:val="Heading3"/>
        <w:spacing w:after="100" w:before="200"/>
      </w:pPr>
      <w:r>
        <w:t xml:space="preserve">Put/Call Ratio</w:t>
      </w:r>
    </w:p>
    <w:p>
      <w:pPr>
        <w:spacing w:after="150"/>
      </w:pPr>
      <w:r>
        <w:t xml:space="preserve">成交量比 = 总 Put 成交量 / 总 Call 成交量；持仓量比 = 总 Put 未平仓量 / 总 Call 未平仓量。比值越高市场情绪越偏空，但极端值常被市场参与者当作反向指标使用。</w:t>
      </w:r>
    </w:p>
    <w:p>
      <w:pPr>
        <w:pStyle w:val="Heading3"/>
        <w:spacing w:after="100" w:before="200"/>
      </w:pPr>
      <w:r>
        <w:t xml:space="preserve">ATR（真实波动幅度，日内短线场景）</w:t>
      </w:r>
    </w:p>
    <w:p>
      <w:pPr>
        <w:spacing w:after="150"/>
      </w:pPr>
      <w:r>
        <w:t xml:space="preserve">真实波幅 = max(今日最高－今日最低, |今日最高－昨日收盘|, |今日最低－昨日收盘|)</w:t>
      </w:r>
    </w:p>
    <w:p>
      <w:pPr>
        <w:spacing w:after="150"/>
      </w:pPr>
      <w:r>
        <w:t xml:space="preserve">ATR（14 期，Wilder 平滑法）= (前一日 ATR × 13 + 今日真实波幅) / 14</w:t>
      </w:r>
    </w:p>
    <w:p>
      <w:pPr>
        <w:pStyle w:val="Heading3"/>
        <w:spacing w:after="100" w:before="200"/>
      </w:pPr>
      <w:r>
        <w:t xml:space="preserve">相对强度 RS（波段 / 趋势场景）</w:t>
      </w:r>
    </w:p>
    <w:p>
      <w:pPr>
        <w:spacing w:after="150"/>
      </w:pPr>
      <w:r>
        <w:t xml:space="preserve">简单版：RS = 个股累计涨幅 / 大盘（或板块）累计涨幅</w:t>
      </w:r>
    </w:p>
    <w:p>
      <w:pPr>
        <w:spacing w:after="150"/>
      </w:pPr>
      <w:r>
        <w:t xml:space="preserve">Mansfield RS（更常用）：RS 值 = [(个股价格/大盘价格) ÷ (个股价格/大盘价格的 N 日均线) － 1] × 100，RS 线上升代表跑赢大盘，与绝对价格走势无关。</w:t>
      </w:r>
    </w:p>
    <w:p>
      <w:pPr>
        <w:pStyle w:val="Heading3"/>
        <w:spacing w:after="100" w:before="200"/>
      </w:pPr>
      <w:r>
        <w:t xml:space="preserve">IV Skew（期权场景）</w:t>
      </w:r>
    </w:p>
    <w:p>
      <w:pPr>
        <w:spacing w:after="150"/>
      </w:pPr>
      <w:r>
        <w:t xml:space="preserve">常用计算：25-delta 风险逆转 = 25-delta 虚值 Put 的 IV － 25-delta 虚值 Call 的 IV。正值越大，代表市场为下跌保护支付的溢价越高。</w:t>
      </w:r>
    </w:p>
    <w:p>
      <w:pPr>
        <w:pStyle w:val="Heading3"/>
        <w:spacing w:after="100" w:before="200"/>
      </w:pPr>
      <w:r>
        <w:t xml:space="preserve">IV Term Structure（期权场景）</w:t>
      </w:r>
    </w:p>
    <w:p>
      <w:pPr>
        <w:spacing w:after="150"/>
      </w:pPr>
      <w:r>
        <w:t xml:space="preserve">比较不同到期日的平值期权 IV：IV(30 天) vs IV(60 天) vs IV(90 天)。Contango（近月 IV &lt; 远月 IV）为正常状态；Backwardation（近月 IV &gt; 远月 IV）常见于财报前，反映短期不确定性溢价。</w:t>
      </w:r>
    </w:p>
    <w:p>
      <w:pPr>
        <w:pStyle w:val="Heading3"/>
        <w:spacing w:after="100" w:before="200"/>
      </w:pPr>
      <w:r>
        <w:t xml:space="preserve">Greeks 反推（Black-Scholes，期权场景）</w:t>
      </w:r>
    </w:p>
    <w:p>
      <w:pPr>
        <w:spacing w:after="150"/>
      </w:pPr>
      <w:r>
        <w:t xml:space="preserve">已知标的价 S、执行价 K、剩余年化时间 T、无风险利率 r、股息率 q、IBKR 提供的隐含波动率 σ：</w:t>
      </w:r>
    </w:p>
    <w:p>
      <w:pPr>
        <w:pStyle w:val="ListParagraph"/>
        <w:numPr>
          <w:ilvl w:val="0"/>
          <w:numId w:val="2"/>
        </w:numPr>
        <w:spacing w:after="80"/>
      </w:pPr>
      <w:r>
        <w:t xml:space="preserve">d1 = [ln(S/K) + (r－q+σ²/2)×T] / (σ×√T)　　d2 = d1－σ×√T</w:t>
      </w:r>
    </w:p>
    <w:p>
      <w:pPr>
        <w:pStyle w:val="ListParagraph"/>
        <w:numPr>
          <w:ilvl w:val="0"/>
          <w:numId w:val="2"/>
        </w:numPr>
        <w:spacing w:after="80"/>
      </w:pPr>
      <w:r>
        <w:t xml:space="preserve">Delta(Call) = e^(－qT)×N(d1)　　Delta(Put) = e^(－qT)×(N(d1)－1)</w:t>
      </w:r>
    </w:p>
    <w:p>
      <w:pPr>
        <w:pStyle w:val="ListParagraph"/>
        <w:numPr>
          <w:ilvl w:val="0"/>
          <w:numId w:val="2"/>
        </w:numPr>
        <w:spacing w:after="80"/>
      </w:pPr>
      <w:r>
        <w:t xml:space="preserve">Gamma = e^(－qT)×N′(d1) / (S×σ×√T)</w:t>
      </w:r>
    </w:p>
    <w:p>
      <w:pPr>
        <w:pStyle w:val="ListParagraph"/>
        <w:numPr>
          <w:ilvl w:val="0"/>
          <w:numId w:val="2"/>
        </w:numPr>
        <w:spacing w:after="80"/>
      </w:pPr>
      <w:r>
        <w:t xml:space="preserve">Vega = S×e^(－qT)×N′(d1)×√T / 100（IV 每变动 1% 的价格敏感度）</w:t>
      </w:r>
    </w:p>
    <w:p>
      <w:pPr>
        <w:pStyle w:val="ListParagraph"/>
        <w:numPr>
          <w:ilvl w:val="0"/>
          <w:numId w:val="2"/>
        </w:numPr>
        <w:spacing w:after="80"/>
      </w:pPr>
      <w:r>
        <w:t xml:space="preserve">Theta(Call) = [－S×N′(d1)×σ×e^(－qT)/(2√T) － r×K×e^(－rT)×N(d2) + q×S×e^(－qT)×N(d1)] / 365</w:t>
      </w:r>
    </w:p>
    <w:p>
      <w:pPr>
        <w:spacing w:after="150"/>
      </w:pPr>
      <w:r>
        <w:t xml:space="preserve">N() 为标准正态累积分布函数，N′() 为标准正态密度函数（Python 中 scipy.stats.norm 提供现成实现）。此为欧式期权公式，用于美式期权存在理论误差，V1 版本先行采用，后续可替换为二叉树或 Barone-Adesi-Whaley 近似模型提升精度。</w:t>
      </w:r>
    </w:p>
    <w:p>
      <w:pPr>
        <w:spacing w:after="150"/>
      </w:pPr>
      <w:r>
        <w:t xml:space="preserve">验证方式：IBKR CPAPI 原生提供 Delta/Gamma/Theta/Vega（field code 7308–7311），可用同一期权合约的自算结果与官方数值比对，作为单元测试的基准。</w:t>
      </w:r>
    </w:p>
    <w:p>
      <w:pPr>
        <w:pStyle w:val="Heading3"/>
        <w:spacing w:after="100" w:before="200"/>
      </w:pPr>
      <w:r>
        <w:t xml:space="preserve">杠杆 ETF 波动损耗率（杠杆 ETF 场景，假设性质，需第 6 章验证）</w:t>
      </w:r>
    </w:p>
    <w:p>
      <w:pPr>
        <w:spacing w:after="150"/>
      </w:pPr>
      <w:r>
        <w:t xml:space="preserve">回归法：杠杆 ETF 日收益率 = α + β×标的日收益率 + ε，理想情况 β 应等于杠杆倍数，实际偏差与残差反映真实损耗。</w:t>
      </w:r>
    </w:p>
    <w:p>
      <w:pPr>
        <w:spacing w:after="150"/>
      </w:pPr>
      <w:r>
        <w:t xml:space="preserve">近似公式：波动损耗 ≈ －0.5×(杠杆倍数²－杠杆倍数)×标的日波动率²。例如 3 倍杠杆、标的日波动率 2%，损耗 ≈ －0.5×(9－3)×0.0004 ＝ －0.12%/天，横盘时间越长损耗越显著。</w:t>
      </w:r>
    </w:p>
    <w:p>
      <w:pPr>
        <w:pStyle w:val="Heading3"/>
        <w:spacing w:after="100" w:before="200"/>
      </w:pPr>
      <w:r>
        <w:t xml:space="preserve">VIX 期限结构（杠杆 ETF 场景）</w:t>
      </w:r>
    </w:p>
    <w:p>
      <w:pPr>
        <w:spacing w:after="150"/>
      </w:pPr>
      <w:r>
        <w:t xml:space="preserve">比值 = VIX9D / VIX（或 VIX / VIX3M）。比值 &gt; 1（backwardation）通常为 risk-off 信号；比值 &lt; 1（contango）为正常状态。</w:t>
      </w:r>
    </w:p>
    <w:p>
      <w:pPr>
        <w:pStyle w:val="Heading1"/>
        <w:spacing w:after="200" w:before="400"/>
      </w:pPr>
      <w:r>
        <w:t xml:space="preserve">5. 评分逻辑设计</w:t>
      </w:r>
    </w:p>
    <w:p>
      <w:pPr>
        <w:spacing w:after="150"/>
      </w:pPr>
      <w:r>
        <w:t xml:space="preserve">本章定义 Bull Score / Bear Score / Confidence Score 的设计原则与 V1 初始权重。核心原则：V1 阶段权重为主观设定，用于让系统先跑起来，全部标注为「待验证」；待 M1 数据管道积累足够历史后，M3 回测框架将逐项验证每个子指标与实际涨跌的相关性，用数据驱动的权重替换 V1 主观权重，不作为长期依据。</w:t>
      </w:r>
    </w:p>
    <w:p>
      <w:pPr>
        <w:pStyle w:val="Heading2"/>
        <w:spacing w:after="150" w:before="300"/>
      </w:pPr>
      <w:r>
        <w:t xml:space="preserve">5.1 设计原则</w:t>
      </w:r>
    </w:p>
    <w:p>
      <w:pPr>
        <w:pStyle w:val="ListParagraph"/>
        <w:numPr>
          <w:ilvl w:val="0"/>
          <w:numId w:val="2"/>
        </w:numPr>
        <w:spacing w:after="80"/>
      </w:pPr>
      <w:r>
        <w:t xml:space="preserve">权重演进路径：V1 主观权重先行 → M3 回测积累相关性数据 → 数据驱动权重替换，全流程可追溯</w:t>
      </w:r>
    </w:p>
    <w:p>
      <w:pPr>
        <w:pStyle w:val="ListParagraph"/>
        <w:numPr>
          <w:ilvl w:val="0"/>
          <w:numId w:val="2"/>
        </w:numPr>
        <w:spacing w:after="80"/>
      </w:pPr>
      <w:r>
        <w:t xml:space="preserve">Bull Score 与 Bear Score 分开计算（而非单一正负分数），保留"多空双弱=震荡"与"多空双强"等场景的区分度，展示层面再合并为净值供用户直读</w:t>
      </w:r>
    </w:p>
    <w:p>
      <w:pPr>
        <w:pStyle w:val="ListParagraph"/>
        <w:numPr>
          <w:ilvl w:val="0"/>
          <w:numId w:val="2"/>
        </w:numPr>
        <w:spacing w:after="80"/>
      </w:pPr>
      <w:r>
        <w:t xml:space="preserve">每个子指标计算前先标准化为 -100 到 +100 的可比子分数，避免不同量纲（价格、百分比、比值）直接加权求和</w:t>
      </w:r>
    </w:p>
    <w:p>
      <w:pPr>
        <w:pStyle w:val="ListParagraph"/>
        <w:numPr>
          <w:ilvl w:val="0"/>
          <w:numId w:val="2"/>
        </w:numPr>
        <w:spacing w:after="80"/>
      </w:pPr>
      <w:r>
        <w:t xml:space="preserve">Confidence Score 不是第三个方向性分数，而是 Bull/Bear Score 本次计算结果的可信程度，由数据完整度、子指标间一致性、当前是否处于历史极端行情共同决定</w:t>
      </w:r>
    </w:p>
    <w:p>
      <w:pPr>
        <w:pStyle w:val="ListParagraph"/>
        <w:numPr>
          <w:ilvl w:val="0"/>
          <w:numId w:val="2"/>
        </w:numPr>
        <w:spacing w:after="80"/>
      </w:pPr>
      <w:r>
        <w:t xml:space="preserve">数据留痕要求：engine_indicators 表的 metadata 字段除存子分数外，需同时保存每个子指标的原始输入值，供 M3 回测阶段直接做相关性分析，不需重新设计数据结构</w:t>
      </w:r>
    </w:p>
    <w:p>
      <w:pPr>
        <w:pStyle w:val="Heading2"/>
        <w:spacing w:after="150" w:before="300"/>
      </w:pPr>
      <w:r>
        <w:t xml:space="preserve">5.2 日内短线场景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26"/>
      </w:tblGrid>
      <w:tr>
        <w:trPr>
          <w:tblHeader/>
        </w:trPr>
        <w:tc>
          <w:tcPr>
            <w:tcW w:type="dxa" w:w="3200"/>
            <w:shd w:fill="2F3B52" w:val="clear"/>
            <w:vAlign w:val="center"/>
          </w:tcPr>
          <w:p>
            <w:r>
              <w:rPr>
                <w:b/>
                <w:bCs/>
                <w:color w:val="FFFFFF"/>
                <w:sz w:val="20"/>
                <w:szCs w:val="20"/>
              </w:rPr>
              <w:t xml:space="preserve">子指标</w:t>
            </w:r>
          </w:p>
        </w:tc>
        <w:tc>
          <w:tcPr>
            <w:tcW w:type="dxa" w:w="4200"/>
            <w:shd w:fill="2F3B52" w:val="clear"/>
            <w:vAlign w:val="center"/>
          </w:tcPr>
          <w:p>
            <w:r>
              <w:rPr>
                <w:b/>
                <w:bCs/>
                <w:color w:val="FFFFFF"/>
                <w:sz w:val="20"/>
                <w:szCs w:val="20"/>
              </w:rPr>
              <w:t xml:space="preserve">方向判断逻辑</w:t>
            </w:r>
          </w:p>
        </w:tc>
        <w:tc>
          <w:tcPr>
            <w:tcW w:type="dxa" w:w="1626"/>
            <w:shd w:fill="2F3B52" w:val="clear"/>
            <w:vAlign w:val="center"/>
          </w:tcPr>
          <w:p>
            <w:r>
              <w:rPr>
                <w:b/>
                <w:bCs/>
                <w:color w:val="FFFFFF"/>
                <w:sz w:val="20"/>
                <w:szCs w:val="20"/>
              </w:rPr>
              <w:t xml:space="preserve">V1 初始权重</w:t>
            </w:r>
          </w:p>
        </w:tc>
      </w:tr>
      <w:tr>
        <w:tc>
          <w:tcPr>
            <w:tcW w:type="dxa" w:w="3200"/>
            <w:vAlign w:val="center"/>
          </w:tcPr>
          <w:p>
            <w:r>
              <w:rPr>
                <w:b w:val="false"/>
                <w:bCs w:val="false"/>
                <w:sz w:val="20"/>
                <w:szCs w:val="20"/>
              </w:rPr>
              <w:t xml:space="preserve">价格 vs VWAP</w:t>
            </w:r>
          </w:p>
        </w:tc>
        <w:tc>
          <w:tcPr>
            <w:tcW w:type="dxa" w:w="4200"/>
            <w:vAlign w:val="center"/>
          </w:tcPr>
          <w:p>
            <w:r>
              <w:rPr>
                <w:b w:val="false"/>
                <w:bCs w:val="false"/>
                <w:sz w:val="20"/>
                <w:szCs w:val="20"/>
              </w:rPr>
              <w:t xml:space="preserve">价格＞VWAP → Bull；价格＜VWAP → Bear</w:t>
            </w:r>
          </w:p>
        </w:tc>
        <w:tc>
          <w:tcPr>
            <w:tcW w:type="dxa" w:w="1626"/>
            <w:vAlign w:val="center"/>
          </w:tcPr>
          <w:p>
            <w:r>
              <w:rPr>
                <w:b w:val="false"/>
                <w:bCs w:val="false"/>
                <w:sz w:val="20"/>
                <w:szCs w:val="20"/>
              </w:rPr>
              <w:t xml:space="preserve">25%</w:t>
            </w:r>
          </w:p>
        </w:tc>
      </w:tr>
      <w:tr>
        <w:tc>
          <w:tcPr>
            <w:tcW w:type="dxa" w:w="3200"/>
            <w:vAlign w:val="center"/>
          </w:tcPr>
          <w:p>
            <w:r>
              <w:rPr>
                <w:b w:val="false"/>
                <w:bCs w:val="false"/>
                <w:sz w:val="20"/>
                <w:szCs w:val="20"/>
              </w:rPr>
              <w:t xml:space="preserve">RSI</w:t>
            </w:r>
          </w:p>
        </w:tc>
        <w:tc>
          <w:tcPr>
            <w:tcW w:type="dxa" w:w="4200"/>
            <w:vAlign w:val="center"/>
          </w:tcPr>
          <w:p>
            <w:r>
              <w:rPr>
                <w:b w:val="false"/>
                <w:bCs w:val="false"/>
                <w:sz w:val="20"/>
                <w:szCs w:val="20"/>
              </w:rPr>
              <w:t xml:space="preserve">RSI＞70 → Bear（超买反转风险）；RSI＜30 → Bull（超卖反弹机会）</w:t>
            </w:r>
          </w:p>
        </w:tc>
        <w:tc>
          <w:tcPr>
            <w:tcW w:type="dxa" w:w="1626"/>
            <w:vAlign w:val="center"/>
          </w:tcPr>
          <w:p>
            <w:r>
              <w:rPr>
                <w:b w:val="false"/>
                <w:bCs w:val="false"/>
                <w:sz w:val="20"/>
                <w:szCs w:val="20"/>
              </w:rPr>
              <w:t xml:space="preserve">20%</w:t>
            </w:r>
          </w:p>
        </w:tc>
      </w:tr>
      <w:tr>
        <w:tc>
          <w:tcPr>
            <w:tcW w:type="dxa" w:w="3200"/>
            <w:vAlign w:val="center"/>
          </w:tcPr>
          <w:p>
            <w:r>
              <w:rPr>
                <w:b w:val="false"/>
                <w:bCs w:val="false"/>
                <w:sz w:val="20"/>
                <w:szCs w:val="20"/>
              </w:rPr>
              <w:t xml:space="preserve">量比（当前量/历史均量）</w:t>
            </w:r>
          </w:p>
        </w:tc>
        <w:tc>
          <w:tcPr>
            <w:tcW w:type="dxa" w:w="4200"/>
            <w:vAlign w:val="center"/>
          </w:tcPr>
          <w:p>
            <w:r>
              <w:rPr>
                <w:b w:val="false"/>
                <w:bCs w:val="false"/>
                <w:sz w:val="20"/>
                <w:szCs w:val="20"/>
              </w:rPr>
              <w:t xml:space="preserve">放量突破方向 → 加强该方向分数</w:t>
            </w:r>
          </w:p>
        </w:tc>
        <w:tc>
          <w:tcPr>
            <w:tcW w:type="dxa" w:w="1626"/>
            <w:vAlign w:val="center"/>
          </w:tcPr>
          <w:p>
            <w:r>
              <w:rPr>
                <w:b w:val="false"/>
                <w:bCs w:val="false"/>
                <w:sz w:val="20"/>
                <w:szCs w:val="20"/>
              </w:rPr>
              <w:t xml:space="preserve">25%</w:t>
            </w:r>
          </w:p>
        </w:tc>
      </w:tr>
      <w:tr>
        <w:tc>
          <w:tcPr>
            <w:tcW w:type="dxa" w:w="3200"/>
            <w:vAlign w:val="center"/>
          </w:tcPr>
          <w:p>
            <w:r>
              <w:rPr>
                <w:b w:val="false"/>
                <w:bCs w:val="false"/>
                <w:sz w:val="20"/>
                <w:szCs w:val="20"/>
              </w:rPr>
              <w:t xml:space="preserve">价格相对 ATR 的位置</w:t>
            </w:r>
          </w:p>
        </w:tc>
        <w:tc>
          <w:tcPr>
            <w:tcW w:type="dxa" w:w="4200"/>
            <w:vAlign w:val="center"/>
          </w:tcPr>
          <w:p>
            <w:r>
              <w:rPr>
                <w:b w:val="false"/>
                <w:bCs w:val="false"/>
                <w:sz w:val="20"/>
                <w:szCs w:val="20"/>
              </w:rPr>
              <w:t xml:space="preserve">接近日内高点 → 动能强；接近低点 → 动能弱</w:t>
            </w:r>
          </w:p>
        </w:tc>
        <w:tc>
          <w:tcPr>
            <w:tcW w:type="dxa" w:w="1626"/>
            <w:vAlign w:val="center"/>
          </w:tcPr>
          <w:p>
            <w:r>
              <w:rPr>
                <w:b w:val="false"/>
                <w:bCs w:val="false"/>
                <w:sz w:val="20"/>
                <w:szCs w:val="20"/>
              </w:rPr>
              <w:t xml:space="preserve">15%</w:t>
            </w:r>
          </w:p>
        </w:tc>
      </w:tr>
      <w:tr>
        <w:tc>
          <w:tcPr>
            <w:tcW w:type="dxa" w:w="3200"/>
            <w:vAlign w:val="center"/>
          </w:tcPr>
          <w:p>
            <w:r>
              <w:rPr>
                <w:b w:val="false"/>
                <w:bCs w:val="false"/>
                <w:sz w:val="20"/>
                <w:szCs w:val="20"/>
              </w:rPr>
              <w:t xml:space="preserve">均线排列（短期 vs 长期）</w:t>
            </w:r>
          </w:p>
        </w:tc>
        <w:tc>
          <w:tcPr>
            <w:tcW w:type="dxa" w:w="4200"/>
            <w:vAlign w:val="center"/>
          </w:tcPr>
          <w:p>
            <w:r>
              <w:rPr>
                <w:b w:val="false"/>
                <w:bCs w:val="false"/>
                <w:sz w:val="20"/>
                <w:szCs w:val="20"/>
              </w:rPr>
              <w:t xml:space="preserve">多头排列 → Bull；空头排列 → Bear</w:t>
            </w:r>
          </w:p>
        </w:tc>
        <w:tc>
          <w:tcPr>
            <w:tcW w:type="dxa" w:w="1626"/>
            <w:vAlign w:val="center"/>
          </w:tcPr>
          <w:p>
            <w:r>
              <w:rPr>
                <w:b w:val="false"/>
                <w:bCs w:val="false"/>
                <w:sz w:val="20"/>
                <w:szCs w:val="20"/>
              </w:rPr>
              <w:t xml:space="preserve">15%</w:t>
            </w:r>
          </w:p>
        </w:tc>
      </w:tr>
    </w:tbl>
    <w:p>
      <w:pPr>
        <w:pStyle w:val="Heading2"/>
        <w:spacing w:after="150" w:before="300"/>
      </w:pPr>
      <w:r>
        <w:t xml:space="preserve">5.3 波段 / 趋势跟踪场景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26"/>
      </w:tblGrid>
      <w:tr>
        <w:trPr>
          <w:tblHeader/>
        </w:trPr>
        <w:tc>
          <w:tcPr>
            <w:tcW w:type="dxa" w:w="3200"/>
            <w:shd w:fill="2F3B52" w:val="clear"/>
            <w:vAlign w:val="center"/>
          </w:tcPr>
          <w:p>
            <w:r>
              <w:rPr>
                <w:b/>
                <w:bCs/>
                <w:color w:val="FFFFFF"/>
                <w:sz w:val="20"/>
                <w:szCs w:val="20"/>
              </w:rPr>
              <w:t xml:space="preserve">子指标</w:t>
            </w:r>
          </w:p>
        </w:tc>
        <w:tc>
          <w:tcPr>
            <w:tcW w:type="dxa" w:w="4200"/>
            <w:shd w:fill="2F3B52" w:val="clear"/>
            <w:vAlign w:val="center"/>
          </w:tcPr>
          <w:p>
            <w:r>
              <w:rPr>
                <w:b/>
                <w:bCs/>
                <w:color w:val="FFFFFF"/>
                <w:sz w:val="20"/>
                <w:szCs w:val="20"/>
              </w:rPr>
              <w:t xml:space="preserve">方向判断逻辑</w:t>
            </w:r>
          </w:p>
        </w:tc>
        <w:tc>
          <w:tcPr>
            <w:tcW w:type="dxa" w:w="1626"/>
            <w:shd w:fill="2F3B52" w:val="clear"/>
            <w:vAlign w:val="center"/>
          </w:tcPr>
          <w:p>
            <w:r>
              <w:rPr>
                <w:b/>
                <w:bCs/>
                <w:color w:val="FFFFFF"/>
                <w:sz w:val="20"/>
                <w:szCs w:val="20"/>
              </w:rPr>
              <w:t xml:space="preserve">V1 初始权重</w:t>
            </w:r>
          </w:p>
        </w:tc>
      </w:tr>
      <w:tr>
        <w:tc>
          <w:tcPr>
            <w:tcW w:type="dxa" w:w="3200"/>
            <w:vAlign w:val="center"/>
          </w:tcPr>
          <w:p>
            <w:r>
              <w:rPr>
                <w:b w:val="false"/>
                <w:bCs w:val="false"/>
                <w:sz w:val="20"/>
                <w:szCs w:val="20"/>
              </w:rPr>
              <w:t xml:space="preserve">相对强度 RS</w:t>
            </w:r>
          </w:p>
        </w:tc>
        <w:tc>
          <w:tcPr>
            <w:tcW w:type="dxa" w:w="4200"/>
            <w:vAlign w:val="center"/>
          </w:tcPr>
          <w:p>
            <w:r>
              <w:rPr>
                <w:b w:val="false"/>
                <w:bCs w:val="false"/>
                <w:sz w:val="20"/>
                <w:szCs w:val="20"/>
              </w:rPr>
              <w:t xml:space="preserve">RS 线上升 → Bull；下降 → Bear</w:t>
            </w:r>
          </w:p>
        </w:tc>
        <w:tc>
          <w:tcPr>
            <w:tcW w:type="dxa" w:w="1626"/>
            <w:vAlign w:val="center"/>
          </w:tcPr>
          <w:p>
            <w:r>
              <w:rPr>
                <w:b w:val="false"/>
                <w:bCs w:val="false"/>
                <w:sz w:val="20"/>
                <w:szCs w:val="20"/>
              </w:rPr>
              <w:t xml:space="preserve">30%</w:t>
            </w:r>
          </w:p>
        </w:tc>
      </w:tr>
      <w:tr>
        <w:tc>
          <w:tcPr>
            <w:tcW w:type="dxa" w:w="3200"/>
            <w:vAlign w:val="center"/>
          </w:tcPr>
          <w:p>
            <w:r>
              <w:rPr>
                <w:b w:val="false"/>
                <w:bCs w:val="false"/>
                <w:sz w:val="20"/>
                <w:szCs w:val="20"/>
              </w:rPr>
              <w:t xml:space="preserve">中长期均线趋势（50/200 日）</w:t>
            </w:r>
          </w:p>
        </w:tc>
        <w:tc>
          <w:tcPr>
            <w:tcW w:type="dxa" w:w="4200"/>
            <w:vAlign w:val="center"/>
          </w:tcPr>
          <w:p>
            <w:r>
              <w:rPr>
                <w:b w:val="false"/>
                <w:bCs w:val="false"/>
                <w:sz w:val="20"/>
                <w:szCs w:val="20"/>
              </w:rPr>
              <w:t xml:space="preserve">价格站上 → 对应方向 Bull；跌破 → Bear</w:t>
            </w:r>
          </w:p>
        </w:tc>
        <w:tc>
          <w:tcPr>
            <w:tcW w:type="dxa" w:w="1626"/>
            <w:vAlign w:val="center"/>
          </w:tcPr>
          <w:p>
            <w:r>
              <w:rPr>
                <w:b w:val="false"/>
                <w:bCs w:val="false"/>
                <w:sz w:val="20"/>
                <w:szCs w:val="20"/>
              </w:rPr>
              <w:t xml:space="preserve">25%</w:t>
            </w:r>
          </w:p>
        </w:tc>
      </w:tr>
      <w:tr>
        <w:tc>
          <w:tcPr>
            <w:tcW w:type="dxa" w:w="3200"/>
            <w:vAlign w:val="center"/>
          </w:tcPr>
          <w:p>
            <w:r>
              <w:rPr>
                <w:b w:val="false"/>
                <w:bCs w:val="false"/>
                <w:sz w:val="20"/>
                <w:szCs w:val="20"/>
              </w:rPr>
              <w:t xml:space="preserve">Volume Profile 位置</w:t>
            </w:r>
          </w:p>
        </w:tc>
        <w:tc>
          <w:tcPr>
            <w:tcW w:type="dxa" w:w="4200"/>
            <w:vAlign w:val="center"/>
          </w:tcPr>
          <w:p>
            <w:r>
              <w:rPr>
                <w:b w:val="false"/>
                <w:bCs w:val="false"/>
                <w:sz w:val="20"/>
                <w:szCs w:val="20"/>
              </w:rPr>
              <w:t xml:space="preserve">价格在 Value Area 上方 → 偏强；下方 → 偏弱</w:t>
            </w:r>
          </w:p>
        </w:tc>
        <w:tc>
          <w:tcPr>
            <w:tcW w:type="dxa" w:w="1626"/>
            <w:vAlign w:val="center"/>
          </w:tcPr>
          <w:p>
            <w:r>
              <w:rPr>
                <w:b w:val="false"/>
                <w:bCs w:val="false"/>
                <w:sz w:val="20"/>
                <w:szCs w:val="20"/>
              </w:rPr>
              <w:t xml:space="preserve">20%</w:t>
            </w:r>
          </w:p>
        </w:tc>
      </w:tr>
      <w:tr>
        <w:tc>
          <w:tcPr>
            <w:tcW w:type="dxa" w:w="3200"/>
            <w:vAlign w:val="center"/>
          </w:tcPr>
          <w:p>
            <w:r>
              <w:rPr>
                <w:b w:val="false"/>
                <w:bCs w:val="false"/>
                <w:sz w:val="20"/>
                <w:szCs w:val="20"/>
              </w:rPr>
              <w:t xml:space="preserve">Put/Call Ratio</w:t>
            </w:r>
          </w:p>
        </w:tc>
        <w:tc>
          <w:tcPr>
            <w:tcW w:type="dxa" w:w="4200"/>
            <w:vAlign w:val="center"/>
          </w:tcPr>
          <w:p>
            <w:r>
              <w:rPr>
                <w:b w:val="false"/>
                <w:bCs w:val="false"/>
                <w:sz w:val="20"/>
                <w:szCs w:val="20"/>
              </w:rPr>
              <w:t xml:space="preserve">极端值时反向解读</w:t>
            </w:r>
          </w:p>
        </w:tc>
        <w:tc>
          <w:tcPr>
            <w:tcW w:type="dxa" w:w="1626"/>
            <w:vAlign w:val="center"/>
          </w:tcPr>
          <w:p>
            <w:r>
              <w:rPr>
                <w:b w:val="false"/>
                <w:bCs w:val="false"/>
                <w:sz w:val="20"/>
                <w:szCs w:val="20"/>
              </w:rPr>
              <w:t xml:space="preserve">15%</w:t>
            </w:r>
          </w:p>
        </w:tc>
      </w:tr>
      <w:tr>
        <w:tc>
          <w:tcPr>
            <w:tcW w:type="dxa" w:w="3200"/>
            <w:vAlign w:val="center"/>
          </w:tcPr>
          <w:p>
            <w:r>
              <w:rPr>
                <w:b w:val="false"/>
                <w:bCs w:val="false"/>
                <w:sz w:val="20"/>
                <w:szCs w:val="20"/>
              </w:rPr>
              <w:t xml:space="preserve">板块 / 大盘联动</w:t>
            </w:r>
          </w:p>
        </w:tc>
        <w:tc>
          <w:tcPr>
            <w:tcW w:type="dxa" w:w="4200"/>
            <w:vAlign w:val="center"/>
          </w:tcPr>
          <w:p>
            <w:r>
              <w:rPr>
                <w:b w:val="false"/>
                <w:bCs w:val="false"/>
                <w:sz w:val="20"/>
                <w:szCs w:val="20"/>
              </w:rPr>
              <w:t xml:space="preserve">同向 → 加强；背离 → 降低置信度</w:t>
            </w:r>
          </w:p>
        </w:tc>
        <w:tc>
          <w:tcPr>
            <w:tcW w:type="dxa" w:w="1626"/>
            <w:vAlign w:val="center"/>
          </w:tcPr>
          <w:p>
            <w:r>
              <w:rPr>
                <w:b w:val="false"/>
                <w:bCs w:val="false"/>
                <w:sz w:val="20"/>
                <w:szCs w:val="20"/>
              </w:rPr>
              <w:t xml:space="preserve">10%</w:t>
            </w:r>
          </w:p>
        </w:tc>
      </w:tr>
    </w:tbl>
    <w:p>
      <w:pPr>
        <w:pStyle w:val="Heading2"/>
        <w:spacing w:after="150" w:before="300"/>
      </w:pPr>
      <w:r>
        <w:t xml:space="preserve">5.4 期权策略场景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26"/>
      </w:tblGrid>
      <w:tr>
        <w:trPr>
          <w:tblHeader/>
        </w:trPr>
        <w:tc>
          <w:tcPr>
            <w:tcW w:type="dxa" w:w="3200"/>
            <w:shd w:fill="2F3B52" w:val="clear"/>
            <w:vAlign w:val="center"/>
          </w:tcPr>
          <w:p>
            <w:r>
              <w:rPr>
                <w:b/>
                <w:bCs/>
                <w:color w:val="FFFFFF"/>
                <w:sz w:val="20"/>
                <w:szCs w:val="20"/>
              </w:rPr>
              <w:t xml:space="preserve">子指标</w:t>
            </w:r>
          </w:p>
        </w:tc>
        <w:tc>
          <w:tcPr>
            <w:tcW w:type="dxa" w:w="4200"/>
            <w:shd w:fill="2F3B52" w:val="clear"/>
            <w:vAlign w:val="center"/>
          </w:tcPr>
          <w:p>
            <w:r>
              <w:rPr>
                <w:b/>
                <w:bCs/>
                <w:color w:val="FFFFFF"/>
                <w:sz w:val="20"/>
                <w:szCs w:val="20"/>
              </w:rPr>
              <w:t xml:space="preserve">方向判断逻辑</w:t>
            </w:r>
          </w:p>
        </w:tc>
        <w:tc>
          <w:tcPr>
            <w:tcW w:type="dxa" w:w="1626"/>
            <w:shd w:fill="2F3B52" w:val="clear"/>
            <w:vAlign w:val="center"/>
          </w:tcPr>
          <w:p>
            <w:r>
              <w:rPr>
                <w:b/>
                <w:bCs/>
                <w:color w:val="FFFFFF"/>
                <w:sz w:val="20"/>
                <w:szCs w:val="20"/>
              </w:rPr>
              <w:t xml:space="preserve">V1 初始权重</w:t>
            </w:r>
          </w:p>
        </w:tc>
      </w:tr>
      <w:tr>
        <w:tc>
          <w:tcPr>
            <w:tcW w:type="dxa" w:w="3200"/>
            <w:vAlign w:val="center"/>
          </w:tcPr>
          <w:p>
            <w:r>
              <w:rPr>
                <w:b w:val="false"/>
                <w:bCs w:val="false"/>
                <w:sz w:val="20"/>
                <w:szCs w:val="20"/>
              </w:rPr>
              <w:t xml:space="preserve">IV Skew</w:t>
            </w:r>
          </w:p>
        </w:tc>
        <w:tc>
          <w:tcPr>
            <w:tcW w:type="dxa" w:w="4200"/>
            <w:vAlign w:val="center"/>
          </w:tcPr>
          <w:p>
            <w:r>
              <w:rPr>
                <w:b w:val="false"/>
                <w:bCs w:val="false"/>
                <w:sz w:val="20"/>
                <w:szCs w:val="20"/>
              </w:rPr>
              <w:t xml:space="preserve">正 Skew 越强 → 市场偏空头保护，提示谨慎</w:t>
            </w:r>
          </w:p>
        </w:tc>
        <w:tc>
          <w:tcPr>
            <w:tcW w:type="dxa" w:w="1626"/>
            <w:vAlign w:val="center"/>
          </w:tcPr>
          <w:p>
            <w:r>
              <w:rPr>
                <w:b w:val="false"/>
                <w:bCs w:val="false"/>
                <w:sz w:val="20"/>
                <w:szCs w:val="20"/>
              </w:rPr>
              <w:t xml:space="preserve">25%</w:t>
            </w:r>
          </w:p>
        </w:tc>
      </w:tr>
      <w:tr>
        <w:tc>
          <w:tcPr>
            <w:tcW w:type="dxa" w:w="3200"/>
            <w:vAlign w:val="center"/>
          </w:tcPr>
          <w:p>
            <w:r>
              <w:rPr>
                <w:b w:val="false"/>
                <w:bCs w:val="false"/>
                <w:sz w:val="20"/>
                <w:szCs w:val="20"/>
              </w:rPr>
              <w:t xml:space="preserve">IV Term Structure</w:t>
            </w:r>
          </w:p>
        </w:tc>
        <w:tc>
          <w:tcPr>
            <w:tcW w:type="dxa" w:w="4200"/>
            <w:vAlign w:val="center"/>
          </w:tcPr>
          <w:p>
            <w:r>
              <w:rPr>
                <w:b w:val="false"/>
                <w:bCs w:val="false"/>
                <w:sz w:val="20"/>
                <w:szCs w:val="20"/>
              </w:rPr>
              <w:t xml:space="preserve">Backwardation → 短期不确定性高，提示降低仓位</w:t>
            </w:r>
          </w:p>
        </w:tc>
        <w:tc>
          <w:tcPr>
            <w:tcW w:type="dxa" w:w="1626"/>
            <w:vAlign w:val="center"/>
          </w:tcPr>
          <w:p>
            <w:r>
              <w:rPr>
                <w:b w:val="false"/>
                <w:bCs w:val="false"/>
                <w:sz w:val="20"/>
                <w:szCs w:val="20"/>
              </w:rPr>
              <w:t xml:space="preserve">20%</w:t>
            </w:r>
          </w:p>
        </w:tc>
      </w:tr>
      <w:tr>
        <w:tc>
          <w:tcPr>
            <w:tcW w:type="dxa" w:w="3200"/>
            <w:vAlign w:val="center"/>
          </w:tcPr>
          <w:p>
            <w:r>
              <w:rPr>
                <w:b w:val="false"/>
                <w:bCs w:val="false"/>
                <w:sz w:val="20"/>
                <w:szCs w:val="20"/>
              </w:rPr>
              <w:t xml:space="preserve">Max Pain vs 当前价</w:t>
            </w:r>
          </w:p>
        </w:tc>
        <w:tc>
          <w:tcPr>
            <w:tcW w:type="dxa" w:w="4200"/>
            <w:vAlign w:val="center"/>
          </w:tcPr>
          <w:p>
            <w:r>
              <w:rPr>
                <w:b w:val="false"/>
                <w:bCs w:val="false"/>
                <w:sz w:val="20"/>
                <w:szCs w:val="20"/>
              </w:rPr>
              <w:t xml:space="preserve">偏离越大 → 回归压力提示越强</w:t>
            </w:r>
          </w:p>
        </w:tc>
        <w:tc>
          <w:tcPr>
            <w:tcW w:type="dxa" w:w="1626"/>
            <w:vAlign w:val="center"/>
          </w:tcPr>
          <w:p>
            <w:r>
              <w:rPr>
                <w:b w:val="false"/>
                <w:bCs w:val="false"/>
                <w:sz w:val="20"/>
                <w:szCs w:val="20"/>
              </w:rPr>
              <w:t xml:space="preserve">20%</w:t>
            </w:r>
          </w:p>
        </w:tc>
      </w:tr>
      <w:tr>
        <w:tc>
          <w:tcPr>
            <w:tcW w:type="dxa" w:w="3200"/>
            <w:vAlign w:val="center"/>
          </w:tcPr>
          <w:p>
            <w:r>
              <w:rPr>
                <w:b w:val="false"/>
                <w:bCs w:val="false"/>
                <w:sz w:val="20"/>
                <w:szCs w:val="20"/>
              </w:rPr>
              <w:t xml:space="preserve">IV Percentile</w:t>
            </w:r>
          </w:p>
        </w:tc>
        <w:tc>
          <w:tcPr>
            <w:tcW w:type="dxa" w:w="4200"/>
            <w:vAlign w:val="center"/>
          </w:tcPr>
          <w:p>
            <w:r>
              <w:rPr>
                <w:b w:val="false"/>
                <w:bCs w:val="false"/>
                <w:sz w:val="20"/>
                <w:szCs w:val="20"/>
              </w:rPr>
              <w:t xml:space="preserve">高 IV Rank → 适合卖方策略；低 IV Rank → 适合买方策略（影响策略选择而非方向）</w:t>
            </w:r>
          </w:p>
        </w:tc>
        <w:tc>
          <w:tcPr>
            <w:tcW w:type="dxa" w:w="1626"/>
            <w:vAlign w:val="center"/>
          </w:tcPr>
          <w:p>
            <w:r>
              <w:rPr>
                <w:b w:val="false"/>
                <w:bCs w:val="false"/>
                <w:sz w:val="20"/>
                <w:szCs w:val="20"/>
              </w:rPr>
              <w:t xml:space="preserve">20%</w:t>
            </w:r>
          </w:p>
        </w:tc>
      </w:tr>
      <w:tr>
        <w:tc>
          <w:tcPr>
            <w:tcW w:type="dxa" w:w="3200"/>
            <w:vAlign w:val="center"/>
          </w:tcPr>
          <w:p>
            <w:r>
              <w:rPr>
                <w:b w:val="false"/>
                <w:bCs w:val="false"/>
                <w:sz w:val="20"/>
                <w:szCs w:val="20"/>
              </w:rPr>
              <w:t xml:space="preserve">历史财报意外幅度（仅财报窗口期）</w:t>
            </w:r>
          </w:p>
        </w:tc>
        <w:tc>
          <w:tcPr>
            <w:tcW w:type="dxa" w:w="4200"/>
            <w:vAlign w:val="center"/>
          </w:tcPr>
          <w:p>
            <w:r>
              <w:rPr>
                <w:b w:val="false"/>
                <w:bCs w:val="false"/>
                <w:sz w:val="20"/>
                <w:szCs w:val="20"/>
              </w:rPr>
              <w:t xml:space="preserve">历史持续超预期 → 提示 Bull 倾向</w:t>
            </w:r>
          </w:p>
        </w:tc>
        <w:tc>
          <w:tcPr>
            <w:tcW w:type="dxa" w:w="1626"/>
            <w:vAlign w:val="center"/>
          </w:tcPr>
          <w:p>
            <w:r>
              <w:rPr>
                <w:b w:val="false"/>
                <w:bCs w:val="false"/>
                <w:sz w:val="20"/>
                <w:szCs w:val="20"/>
              </w:rPr>
              <w:t xml:space="preserve">15%</w:t>
            </w:r>
          </w:p>
        </w:tc>
      </w:tr>
    </w:tbl>
    <w:p>
      <w:pPr>
        <w:pStyle w:val="Heading2"/>
        <w:spacing w:after="150" w:before="300"/>
      </w:pPr>
      <w:r>
        <w:t xml:space="preserve">5.5 杠杆 ETF 对冲场景（Regime 判断，而非方向打分）</w:t>
      </w:r>
    </w:p>
    <w:p>
      <w:pPr>
        <w:spacing w:after="150"/>
      </w:pPr>
      <w:r>
        <w:t xml:space="preserve">该场景本质是判断当前处于 Bull / Chop / Bear 三态中的哪一态以决定配置比例，而非单纯看涨看跌打分：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26"/>
      </w:tblGrid>
      <w:tr>
        <w:trPr>
          <w:tblHeader/>
        </w:trPr>
        <w:tc>
          <w:tcPr>
            <w:tcW w:type="dxa" w:w="3200"/>
            <w:shd w:fill="2F3B52" w:val="clear"/>
            <w:vAlign w:val="center"/>
          </w:tcPr>
          <w:p>
            <w:r>
              <w:rPr>
                <w:b/>
                <w:bCs/>
                <w:color w:val="FFFFFF"/>
                <w:sz w:val="20"/>
                <w:szCs w:val="20"/>
              </w:rPr>
              <w:t xml:space="preserve">子指标</w:t>
            </w:r>
          </w:p>
        </w:tc>
        <w:tc>
          <w:tcPr>
            <w:tcW w:type="dxa" w:w="4200"/>
            <w:shd w:fill="2F3B52" w:val="clear"/>
            <w:vAlign w:val="center"/>
          </w:tcPr>
          <w:p>
            <w:r>
              <w:rPr>
                <w:b/>
                <w:bCs/>
                <w:color w:val="FFFFFF"/>
                <w:sz w:val="20"/>
                <w:szCs w:val="20"/>
              </w:rPr>
              <w:t xml:space="preserve">Regime 判断逻辑</w:t>
            </w:r>
          </w:p>
        </w:tc>
        <w:tc>
          <w:tcPr>
            <w:tcW w:type="dxa" w:w="1626"/>
            <w:shd w:fill="2F3B52" w:val="clear"/>
            <w:vAlign w:val="center"/>
          </w:tcPr>
          <w:p>
            <w:r>
              <w:rPr>
                <w:b/>
                <w:bCs/>
                <w:color w:val="FFFFFF"/>
                <w:sz w:val="20"/>
                <w:szCs w:val="20"/>
              </w:rPr>
              <w:t xml:space="preserve">V1 初始权重</w:t>
            </w:r>
          </w:p>
        </w:tc>
      </w:tr>
      <w:tr>
        <w:tc>
          <w:tcPr>
            <w:tcW w:type="dxa" w:w="3200"/>
            <w:vAlign w:val="center"/>
          </w:tcPr>
          <w:p>
            <w:r>
              <w:rPr>
                <w:b w:val="false"/>
                <w:bCs w:val="false"/>
                <w:sz w:val="20"/>
                <w:szCs w:val="20"/>
              </w:rPr>
              <w:t xml:space="preserve">VIX 绝对水平</w:t>
            </w:r>
          </w:p>
        </w:tc>
        <w:tc>
          <w:tcPr>
            <w:tcW w:type="dxa" w:w="4200"/>
            <w:vAlign w:val="center"/>
          </w:tcPr>
          <w:p>
            <w:r>
              <w:rPr>
                <w:b w:val="false"/>
                <w:bCs w:val="false"/>
                <w:sz w:val="20"/>
                <w:szCs w:val="20"/>
              </w:rPr>
              <w:t xml:space="preserve">分段判断：＜15 低波动，15–25 正常，＞25 高波动</w:t>
            </w:r>
          </w:p>
        </w:tc>
        <w:tc>
          <w:tcPr>
            <w:tcW w:type="dxa" w:w="1626"/>
            <w:vAlign w:val="center"/>
          </w:tcPr>
          <w:p>
            <w:r>
              <w:rPr>
                <w:b w:val="false"/>
                <w:bCs w:val="false"/>
                <w:sz w:val="20"/>
                <w:szCs w:val="20"/>
              </w:rPr>
              <w:t xml:space="preserve">30%</w:t>
            </w:r>
          </w:p>
        </w:tc>
      </w:tr>
      <w:tr>
        <w:tc>
          <w:tcPr>
            <w:tcW w:type="dxa" w:w="3200"/>
            <w:vAlign w:val="center"/>
          </w:tcPr>
          <w:p>
            <w:r>
              <w:rPr>
                <w:b w:val="false"/>
                <w:bCs w:val="false"/>
                <w:sz w:val="20"/>
                <w:szCs w:val="20"/>
              </w:rPr>
              <w:t xml:space="preserve">VIX 期限结构（9D/VIX/3M）</w:t>
            </w:r>
          </w:p>
        </w:tc>
        <w:tc>
          <w:tcPr>
            <w:tcW w:type="dxa" w:w="4200"/>
            <w:vAlign w:val="center"/>
          </w:tcPr>
          <w:p>
            <w:r>
              <w:rPr>
                <w:b w:val="false"/>
                <w:bCs w:val="false"/>
                <w:sz w:val="20"/>
                <w:szCs w:val="20"/>
              </w:rPr>
              <w:t xml:space="preserve">Backwardation → Bear regime 倾向</w:t>
            </w:r>
          </w:p>
        </w:tc>
        <w:tc>
          <w:tcPr>
            <w:tcW w:type="dxa" w:w="1626"/>
            <w:vAlign w:val="center"/>
          </w:tcPr>
          <w:p>
            <w:r>
              <w:rPr>
                <w:b w:val="false"/>
                <w:bCs w:val="false"/>
                <w:sz w:val="20"/>
                <w:szCs w:val="20"/>
              </w:rPr>
              <w:t xml:space="preserve">25%</w:t>
            </w:r>
          </w:p>
        </w:tc>
      </w:tr>
      <w:tr>
        <w:tc>
          <w:tcPr>
            <w:tcW w:type="dxa" w:w="3200"/>
            <w:vAlign w:val="center"/>
          </w:tcPr>
          <w:p>
            <w:r>
              <w:rPr>
                <w:b w:val="false"/>
                <w:bCs w:val="false"/>
                <w:sz w:val="20"/>
                <w:szCs w:val="20"/>
              </w:rPr>
              <w:t xml:space="preserve">大盘 200 日均线位置</w:t>
            </w:r>
          </w:p>
        </w:tc>
        <w:tc>
          <w:tcPr>
            <w:tcW w:type="dxa" w:w="4200"/>
            <w:vAlign w:val="center"/>
          </w:tcPr>
          <w:p>
            <w:r>
              <w:rPr>
                <w:b w:val="false"/>
                <w:bCs w:val="false"/>
                <w:sz w:val="20"/>
                <w:szCs w:val="20"/>
              </w:rPr>
              <w:t xml:space="preserve">站上 → Bull 基调；跌破 → Bear 基调</w:t>
            </w:r>
          </w:p>
        </w:tc>
        <w:tc>
          <w:tcPr>
            <w:tcW w:type="dxa" w:w="1626"/>
            <w:vAlign w:val="center"/>
          </w:tcPr>
          <w:p>
            <w:r>
              <w:rPr>
                <w:b w:val="false"/>
                <w:bCs w:val="false"/>
                <w:sz w:val="20"/>
                <w:szCs w:val="20"/>
              </w:rPr>
              <w:t xml:space="preserve">25%</w:t>
            </w:r>
          </w:p>
        </w:tc>
      </w:tr>
      <w:tr>
        <w:tc>
          <w:tcPr>
            <w:tcW w:type="dxa" w:w="3200"/>
            <w:vAlign w:val="center"/>
          </w:tcPr>
          <w:p>
            <w:r>
              <w:rPr>
                <w:b w:val="false"/>
                <w:bCs w:val="false"/>
                <w:sz w:val="20"/>
                <w:szCs w:val="20"/>
              </w:rPr>
              <w:t xml:space="preserve">波动损耗率（近 30 天实际值）</w:t>
            </w:r>
          </w:p>
        </w:tc>
        <w:tc>
          <w:tcPr>
            <w:tcW w:type="dxa" w:w="4200"/>
            <w:vAlign w:val="center"/>
          </w:tcPr>
          <w:p>
            <w:r>
              <w:rPr>
                <w:b w:val="false"/>
                <w:bCs w:val="false"/>
                <w:sz w:val="20"/>
                <w:szCs w:val="20"/>
              </w:rPr>
              <w:t xml:space="preserve">损耗过高 → 提示减少杠杆敞口</w:t>
            </w:r>
          </w:p>
        </w:tc>
        <w:tc>
          <w:tcPr>
            <w:tcW w:type="dxa" w:w="1626"/>
            <w:vAlign w:val="center"/>
          </w:tcPr>
          <w:p>
            <w:r>
              <w:rPr>
                <w:b w:val="false"/>
                <w:bCs w:val="false"/>
                <w:sz w:val="20"/>
                <w:szCs w:val="20"/>
              </w:rPr>
              <w:t xml:space="preserve">20%</w:t>
            </w:r>
          </w:p>
        </w:tc>
      </w:tr>
    </w:tbl>
    <w:p>
      <w:pPr>
        <w:pStyle w:val="Heading3"/>
        <w:spacing w:after="100" w:before="200"/>
      </w:pPr>
      <w:r>
        <w:t xml:space="preserve">标的类型区分：宽基指数类 vs 单票类</w:t>
      </w:r>
    </w:p>
    <w:p>
      <w:pPr>
        <w:spacing w:after="150"/>
      </w:pPr>
      <w:r>
        <w:t xml:space="preserve">本场景需覆盖两类杠杆 ETF，其子指标输入源不同，不能用同一套判断逻辑：</w:t>
      </w:r>
    </w:p>
    <w:p>
      <w:pPr>
        <w:pStyle w:val="ListParagraph"/>
        <w:numPr>
          <w:ilvl w:val="0"/>
          <w:numId w:val="2"/>
        </w:numPr>
        <w:spacing w:after="80"/>
      </w:pPr>
      <w:r>
        <w:t xml:space="preserve">宽基指数类（target_type = broad_index）：如 TQQQ/SQQQ 跟踪 QQQ，不受单一公司事件影响，本节表格的判断逻辑直接适用</w:t>
      </w:r>
    </w:p>
    <w:p>
      <w:pPr>
        <w:pStyle w:val="ListParagraph"/>
        <w:numPr>
          <w:ilvl w:val="0"/>
          <w:numId w:val="2"/>
        </w:numPr>
        <w:spacing w:after="80"/>
      </w:pPr>
      <w:r>
        <w:t xml:space="preserve">单票类（target_type = single_stock）：如 TSLL/TSLQ 跟踪 TSLA，受标的公司自身财报等事件影响，且部分子指标的输入源需要替换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2F3B52" w:val="clear"/>
            <w:vAlign w:val="center"/>
          </w:tcPr>
          <w:p>
            <w:r>
              <w:rPr>
                <w:b/>
                <w:bCs/>
                <w:color w:val="FFFFFF"/>
                <w:sz w:val="20"/>
                <w:szCs w:val="20"/>
              </w:rPr>
              <w:t xml:space="preserve">子指标</w:t>
            </w:r>
          </w:p>
        </w:tc>
        <w:tc>
          <w:tcPr>
            <w:tcW w:type="dxa" w:w="3200"/>
            <w:shd w:fill="2F3B52" w:val="clear"/>
            <w:vAlign w:val="center"/>
          </w:tcPr>
          <w:p>
            <w:r>
              <w:rPr>
                <w:b/>
                <w:bCs/>
                <w:color w:val="FFFFFF"/>
                <w:sz w:val="20"/>
                <w:szCs w:val="20"/>
              </w:rPr>
              <w:t xml:space="preserve">broad_index 输入源</w:t>
            </w:r>
          </w:p>
        </w:tc>
        <w:tc>
          <w:tcPr>
            <w:tcW w:type="dxa" w:w="3226"/>
            <w:shd w:fill="2F3B52" w:val="clear"/>
            <w:vAlign w:val="center"/>
          </w:tcPr>
          <w:p>
            <w:r>
              <w:rPr>
                <w:b/>
                <w:bCs/>
                <w:color w:val="FFFFFF"/>
                <w:sz w:val="20"/>
                <w:szCs w:val="20"/>
              </w:rPr>
              <w:t xml:space="preserve">single_stock 输入源</w:t>
            </w:r>
          </w:p>
        </w:tc>
      </w:tr>
      <w:tr>
        <w:tc>
          <w:tcPr>
            <w:tcW w:type="dxa" w:w="2600"/>
            <w:vAlign w:val="center"/>
          </w:tcPr>
          <w:p>
            <w:r>
              <w:rPr>
                <w:b w:val="false"/>
                <w:bCs w:val="false"/>
                <w:sz w:val="20"/>
                <w:szCs w:val="20"/>
              </w:rPr>
              <w:t xml:space="preserve">VIX 绝对水平 / 期限结构</w:t>
            </w:r>
          </w:p>
        </w:tc>
        <w:tc>
          <w:tcPr>
            <w:tcW w:type="dxa" w:w="3200"/>
            <w:vAlign w:val="center"/>
          </w:tcPr>
          <w:p>
            <w:r>
              <w:rPr>
                <w:b w:val="false"/>
                <w:bCs w:val="false"/>
                <w:sz w:val="20"/>
                <w:szCs w:val="20"/>
              </w:rPr>
              <w:t xml:space="preserve">VIX 系列指数（宏观背景，两类共用）</w:t>
            </w:r>
          </w:p>
        </w:tc>
        <w:tc>
          <w:tcPr>
            <w:tcW w:type="dxa" w:w="3226"/>
            <w:vAlign w:val="center"/>
          </w:tcPr>
          <w:p>
            <w:r>
              <w:rPr>
                <w:b w:val="false"/>
                <w:bCs w:val="false"/>
                <w:sz w:val="20"/>
                <w:szCs w:val="20"/>
              </w:rPr>
              <w:t xml:space="preserve">同左，作为宏观背景参考，不替换</w:t>
            </w:r>
          </w:p>
        </w:tc>
      </w:tr>
      <w:tr>
        <w:tc>
          <w:tcPr>
            <w:tcW w:type="dxa" w:w="2600"/>
            <w:vAlign w:val="center"/>
          </w:tcPr>
          <w:p>
            <w:r>
              <w:rPr>
                <w:b w:val="false"/>
                <w:bCs w:val="false"/>
                <w:sz w:val="20"/>
                <w:szCs w:val="20"/>
              </w:rPr>
              <w:t xml:space="preserve">"大盘 200 日均线位置"</w:t>
            </w:r>
          </w:p>
        </w:tc>
        <w:tc>
          <w:tcPr>
            <w:tcW w:type="dxa" w:w="3200"/>
            <w:vAlign w:val="center"/>
          </w:tcPr>
          <w:p>
            <w:r>
              <w:rPr>
                <w:b w:val="false"/>
                <w:bCs w:val="false"/>
                <w:sz w:val="20"/>
                <w:szCs w:val="20"/>
              </w:rPr>
              <w:t xml:space="preserve">跟踪的宽基指数自身 200 日均线（如 QQQ）</w:t>
            </w:r>
          </w:p>
        </w:tc>
        <w:tc>
          <w:tcPr>
            <w:tcW w:type="dxa" w:w="3226"/>
            <w:vAlign w:val="center"/>
          </w:tcPr>
          <w:p>
            <w:r>
              <w:rPr>
                <w:b w:val="false"/>
                <w:bCs w:val="false"/>
                <w:sz w:val="20"/>
                <w:szCs w:val="20"/>
              </w:rPr>
              <w:t xml:space="preserve">替换为标的个股自身 200 日均线（如 TSLA），而非大盘指数</w:t>
            </w:r>
          </w:p>
        </w:tc>
      </w:tr>
      <w:tr>
        <w:tc>
          <w:tcPr>
            <w:tcW w:type="dxa" w:w="2600"/>
            <w:vAlign w:val="center"/>
          </w:tcPr>
          <w:p>
            <w:r>
              <w:rPr>
                <w:b w:val="false"/>
                <w:bCs w:val="false"/>
                <w:sz w:val="20"/>
                <w:szCs w:val="20"/>
              </w:rPr>
              <w:t xml:space="preserve">波动损耗率</w:t>
            </w:r>
          </w:p>
        </w:tc>
        <w:tc>
          <w:tcPr>
            <w:tcW w:type="dxa" w:w="3200"/>
            <w:vAlign w:val="center"/>
          </w:tcPr>
          <w:p>
            <w:r>
              <w:rPr>
                <w:b w:val="false"/>
                <w:bCs w:val="false"/>
                <w:sz w:val="20"/>
                <w:szCs w:val="20"/>
              </w:rPr>
              <w:t xml:space="preserve">公式不变，用宽基指数的日波动率作为输入</w:t>
            </w:r>
          </w:p>
        </w:tc>
        <w:tc>
          <w:tcPr>
            <w:tcW w:type="dxa" w:w="3226"/>
            <w:vAlign w:val="center"/>
          </w:tcPr>
          <w:p>
            <w:r>
              <w:rPr>
                <w:b w:val="false"/>
                <w:bCs w:val="false"/>
                <w:sz w:val="20"/>
                <w:szCs w:val="20"/>
              </w:rPr>
              <w:t xml:space="preserve">公式不变，用标的个股的日波动率作为输入（数值通常显著更高，损耗更剧烈，属正常现象非计算错误）</w:t>
            </w:r>
          </w:p>
        </w:tc>
      </w:tr>
    </w:tbl>
    <w:p>
      <w:pPr>
        <w:shd w:fill="FFF6DC" w:val="clear"/>
        <w:spacing w:after="150"/>
      </w:pPr>
      <w:r>
        <w:rPr>
          <w:i/>
          <w:iCs/>
          <w:color w:val="806000"/>
        </w:rPr>
        <w:t xml:space="preserve">single_stock 子类型下，标的个股受财报、除息等公司层面事件影响，这些事件是否影响本场景的 Confidence Score，见第7.2节"财报日历"与"指数再平衡公告"两条规则的适用范围说明。</w:t>
      </w:r>
    </w:p>
    <w:p>
      <w:pPr>
        <w:pStyle w:val="Heading1"/>
        <w:spacing w:after="200" w:before="400"/>
      </w:pPr>
      <w:r>
        <w:t xml:space="preserve">6. 回测框架设计</w:t>
      </w:r>
    </w:p>
    <w:p>
      <w:pPr>
        <w:spacing w:after="150"/>
      </w:pPr>
      <w:r>
        <w:t xml:space="preserve">本章定义如何验证第 5 章的评分逻辑是否真正有效，是"数据驱动权重"这一原则的具体落地方式。</w:t>
      </w:r>
    </w:p>
    <w:p>
      <w:pPr>
        <w:pStyle w:val="Heading2"/>
        <w:spacing w:after="150" w:before="300"/>
      </w:pPr>
      <w:r>
        <w:t xml:space="preserve">6.1 核心设计原则</w:t>
      </w:r>
    </w:p>
    <w:p>
      <w:pPr>
        <w:pStyle w:val="ListParagraph"/>
        <w:numPr>
          <w:ilvl w:val="0"/>
          <w:numId w:val="2"/>
        </w:numPr>
        <w:spacing w:after="80"/>
      </w:pPr>
      <w:r>
        <w:t xml:space="preserve">Walk-Forward 验证，而非简单历史回测：权重只用截至当时可获得的历史数据计算，滚动向前验证，避免用未来数据优化过去（look-ahead bias）</w:t>
      </w:r>
    </w:p>
    <w:p>
      <w:pPr>
        <w:pStyle w:val="ListParagraph"/>
        <w:numPr>
          <w:ilvl w:val="0"/>
          <w:numId w:val="2"/>
        </w:numPr>
        <w:spacing w:after="80"/>
      </w:pPr>
      <w:r>
        <w:t xml:space="preserve">相关性分析反推权重：对每个子指标计算其历史取值与未来实际收益的信息系数（IC），相关性强的提高权重，弱的降低或剔除，这是"数据驱动"的具体机制</w:t>
      </w:r>
    </w:p>
    <w:p>
      <w:pPr>
        <w:pStyle w:val="ListParagraph"/>
        <w:numPr>
          <w:ilvl w:val="0"/>
          <w:numId w:val="2"/>
        </w:numPr>
        <w:spacing w:after="80"/>
      </w:pPr>
      <w:r>
        <w:t xml:space="preserve">结果报告需包含命中率、平均盈亏比、最大回撤、样本量，不能只看单一的"赚不赚钱"</w:t>
      </w:r>
    </w:p>
    <w:p>
      <w:pPr>
        <w:pStyle w:val="Heading2"/>
        <w:spacing w:after="150" w:before="300"/>
      </w:pPr>
      <w:r>
        <w:t xml:space="preserve">6.2 四场景成功判定标准</w:t>
      </w:r>
    </w:p>
    <w:p>
      <w:pPr>
        <w:pStyle w:val="Heading3"/>
        <w:spacing w:after="100" w:before="200"/>
      </w:pPr>
      <w:r>
        <w:t xml:space="preserve">日内短线</w:t>
      </w:r>
    </w:p>
    <w:p>
      <w:pPr>
        <w:spacing w:after="150"/>
      </w:pPr>
      <w:r>
        <w:t xml:space="preserve">使用 ATR 动态目标，不用固定百分比（不同股票波动率差异大，固定百分比不可比）：</w:t>
      </w:r>
    </w:p>
    <w:p>
      <w:pPr>
        <w:pStyle w:val="ListParagraph"/>
        <w:numPr>
          <w:ilvl w:val="0"/>
          <w:numId w:val="2"/>
        </w:numPr>
        <w:spacing w:after="80"/>
      </w:pPr>
      <w:r>
        <w:t xml:space="preserve">目标价 = 入场价 ± N×ATR（方向由 Bull/Bear Score 决定，N 初始取 1.5）；止损价 = 入场价 ∓ M×ATR（M 初始取 1）</w:t>
      </w:r>
    </w:p>
    <w:p>
      <w:pPr>
        <w:pStyle w:val="ListParagraph"/>
        <w:numPr>
          <w:ilvl w:val="0"/>
          <w:numId w:val="2"/>
        </w:numPr>
        <w:spacing w:after="80"/>
      </w:pPr>
      <w:r>
        <w:t xml:space="preserve">判定：收盘前目标价先触及 → 成功；止损价先触及 → 失败；均未触及 → 记为"未分出胜负"，单独统计，不计入胜率分母</w:t>
      </w:r>
    </w:p>
    <w:p>
      <w:pPr>
        <w:pStyle w:val="Heading3"/>
        <w:spacing w:after="100" w:before="200"/>
      </w:pPr>
      <w:r>
        <w:t xml:space="preserve">波段 / 趋势跟踪</w:t>
      </w:r>
    </w:p>
    <w:p>
      <w:pPr>
        <w:spacing w:after="150"/>
      </w:pPr>
      <w:r>
        <w:t xml:space="preserve">持仓周期固定为信号触发后 N 个交易日（初始 N=10），成功判定必须相对基准，不能只看绝对收益：</w:t>
      </w:r>
    </w:p>
    <w:p>
      <w:pPr>
        <w:pStyle w:val="ListParagraph"/>
        <w:numPr>
          <w:ilvl w:val="0"/>
          <w:numId w:val="2"/>
        </w:numPr>
        <w:spacing w:after="80"/>
      </w:pPr>
      <w:r>
        <w:t xml:space="preserve">超额收益 = 持仓期绝对收益 － 同期基准（QQQ 或对应板块 ETF）涨跌幅；超额收益 ＞ 0 才算成功</w:t>
      </w:r>
    </w:p>
    <w:p>
      <w:pPr>
        <w:pStyle w:val="ListParagraph"/>
        <w:numPr>
          <w:ilvl w:val="0"/>
          <w:numId w:val="2"/>
        </w:numPr>
        <w:spacing w:after="80"/>
      </w:pPr>
      <w:r>
        <w:t xml:space="preserve">若仅看绝对收益，牛市期间任何信号都会虚高胜率，测的是大盘 beta 而非评分逻辑本身的 alpha，故必须扣除基准</w:t>
      </w:r>
    </w:p>
    <w:p>
      <w:pPr>
        <w:pStyle w:val="Heading3"/>
        <w:spacing w:after="100" w:before="200"/>
      </w:pPr>
      <w:r>
        <w:t xml:space="preserve">期权策略</w:t>
      </w:r>
    </w:p>
    <w:p>
      <w:pPr>
        <w:spacing w:after="150"/>
      </w:pPr>
      <w:r>
        <w:t xml:space="preserve">成功判定基于真实可执行的退出规则，而非假设持有至到期（存在 Pin Risk 与提前指派风险）：</w:t>
      </w:r>
    </w:p>
    <w:p>
      <w:pPr>
        <w:pStyle w:val="ListParagraph"/>
        <w:numPr>
          <w:ilvl w:val="0"/>
          <w:numId w:val="2"/>
        </w:numPr>
        <w:spacing w:after="80"/>
      </w:pPr>
      <w:r>
        <w:t xml:space="preserve">退出规则：达到最大理论盈利 50% 时提前平仓，或剩余 21 天到期时强制平仓，两者先触发者为准</w:t>
      </w:r>
    </w:p>
    <w:p>
      <w:pPr>
        <w:pStyle w:val="ListParagraph"/>
        <w:numPr>
          <w:ilvl w:val="0"/>
          <w:numId w:val="2"/>
        </w:numPr>
        <w:spacing w:after="80"/>
      </w:pPr>
      <w:r>
        <w:t xml:space="preserve">需单独统计持仓期间最大浮亏，不能仅看最终盈亏，避免掩盖过程中的真实风险</w:t>
      </w:r>
    </w:p>
    <w:p>
      <w:pPr>
        <w:pStyle w:val="Heading3"/>
        <w:spacing w:after="100" w:before="200"/>
      </w:pPr>
      <w:r>
        <w:t xml:space="preserve">杠杆 ETF Regime 判断</w:t>
      </w:r>
    </w:p>
    <w:p>
      <w:pPr>
        <w:spacing w:after="150"/>
      </w:pPr>
      <w:r>
        <w:t xml:space="preserve">评估对象是持续的配置决策而非单笔交易，对比按 Regime 建议配置比例的组合收益与纯买入持有基准的收益：</w:t>
      </w:r>
    </w:p>
    <w:p>
      <w:pPr>
        <w:pStyle w:val="ListParagraph"/>
        <w:numPr>
          <w:ilvl w:val="0"/>
          <w:numId w:val="2"/>
        </w:numPr>
        <w:spacing w:after="80"/>
      </w:pPr>
      <w:r>
        <w:t xml:space="preserve">评估标准为风险调整后收益（如夏普比率）与最大回撤，而非单看收益率——杠杆 ETF 波动巨大，Regime 判断的价值应体现在回撤更小，而非仅收益更高</w:t>
      </w:r>
    </w:p>
    <w:p>
      <w:pPr>
        <w:pStyle w:val="Heading2"/>
        <w:spacing w:after="150" w:before="300"/>
      </w:pPr>
      <w:r>
        <w:t xml:space="preserve">6.3 硬性要求</w:t>
      </w:r>
    </w:p>
    <w:p>
      <w:pPr>
        <w:pStyle w:val="ListParagraph"/>
        <w:numPr>
          <w:ilvl w:val="0"/>
          <w:numId w:val="2"/>
        </w:numPr>
        <w:spacing w:after="80"/>
      </w:pPr>
      <w:r>
        <w:t xml:space="preserve">样本量门槛：任何子指标/场景的信号数量低于 30 次之前，胜率或相关系数标注为"样本不足，暂不采信"，避免小样本偶然性被误判为规律</w:t>
      </w:r>
    </w:p>
    <w:p>
      <w:pPr>
        <w:pStyle w:val="ListParagraph"/>
        <w:numPr>
          <w:ilvl w:val="0"/>
          <w:numId w:val="2"/>
        </w:numPr>
        <w:spacing w:after="80"/>
      </w:pPr>
      <w:r>
        <w:t xml:space="preserve">交易成本计入：期权回测使用买一/卖一价模拟真实成交，不用中间价（mid price），避免高估策略表现</w:t>
      </w:r>
    </w:p>
    <w:p>
      <w:pPr>
        <w:pStyle w:val="Heading2"/>
        <w:spacing w:after="150" w:before="300"/>
      </w:pPr>
      <w:r>
        <w:t xml:space="preserve">6.4 回测数据存储设计</w:t>
      </w:r>
    </w:p>
    <w:p>
      <w:pPr>
        <w:spacing w:after="150"/>
      </w:pPr>
      <w:r>
        <w:t xml:space="preserve">在 schema.sql 基础上新增三张表，支撑上述验证流程：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F3B52" w:val="clear"/>
            <w:vAlign w:val="center"/>
          </w:tcPr>
          <w:p>
            <w:r>
              <w:rPr>
                <w:b/>
                <w:bCs/>
                <w:color w:val="FFFFFF"/>
                <w:sz w:val="20"/>
                <w:szCs w:val="20"/>
              </w:rPr>
              <w:t xml:space="preserve">表名</w:t>
            </w:r>
          </w:p>
        </w:tc>
        <w:tc>
          <w:tcPr>
            <w:tcW w:type="dxa" w:w="5826"/>
            <w:shd w:fill="2F3B52" w:val="clear"/>
            <w:vAlign w:val="center"/>
          </w:tcPr>
          <w:p>
            <w:r>
              <w:rPr>
                <w:b/>
                <w:bCs/>
                <w:color w:val="FFFFFF"/>
                <w:sz w:val="20"/>
                <w:szCs w:val="20"/>
              </w:rPr>
              <w:t xml:space="preserve">作用</w:t>
            </w:r>
          </w:p>
        </w:tc>
      </w:tr>
      <w:tr>
        <w:tc>
          <w:tcPr>
            <w:tcW w:type="dxa" w:w="3200"/>
            <w:vAlign w:val="center"/>
          </w:tcPr>
          <w:p>
            <w:r>
              <w:rPr>
                <w:b w:val="false"/>
                <w:bCs w:val="false"/>
                <w:sz w:val="20"/>
                <w:szCs w:val="20"/>
              </w:rPr>
              <w:t xml:space="preserve">backtest_signals</w:t>
            </w:r>
          </w:p>
        </w:tc>
        <w:tc>
          <w:tcPr>
            <w:tcW w:type="dxa" w:w="5826"/>
            <w:vAlign w:val="center"/>
          </w:tcPr>
          <w:p>
            <w:r>
              <w:rPr>
                <w:b w:val="false"/>
                <w:bCs w:val="false"/>
                <w:sz w:val="20"/>
                <w:szCs w:val="20"/>
              </w:rPr>
              <w:t xml:space="preserve">主表，每条信号触发到退出的完整生命周期一行记录，含方向、目标价/止损价、实际退出价、收益率、超额收益、最大浮亏等字段</w:t>
            </w:r>
          </w:p>
        </w:tc>
      </w:tr>
      <w:tr>
        <w:tc>
          <w:tcPr>
            <w:tcW w:type="dxa" w:w="3200"/>
            <w:vAlign w:val="center"/>
          </w:tcPr>
          <w:p>
            <w:r>
              <w:rPr>
                <w:b w:val="false"/>
                <w:bCs w:val="false"/>
                <w:sz w:val="20"/>
                <w:szCs w:val="20"/>
              </w:rPr>
              <w:t xml:space="preserve">backtest_indicator_contributions</w:t>
            </w:r>
          </w:p>
        </w:tc>
        <w:tc>
          <w:tcPr>
            <w:tcW w:type="dxa" w:w="5826"/>
            <w:vAlign w:val="center"/>
          </w:tcPr>
          <w:p>
            <w:r>
              <w:rPr>
                <w:b w:val="false"/>
                <w:bCs w:val="false"/>
                <w:sz w:val="20"/>
                <w:szCs w:val="20"/>
              </w:rPr>
              <w:t xml:space="preserve">明细表，记录每次信号触发时各子指标的原始值与标准化子分数，是相关性分析的数据基础，缺失此表将无法反推权重</w:t>
            </w:r>
          </w:p>
        </w:tc>
      </w:tr>
      <w:tr>
        <w:tc>
          <w:tcPr>
            <w:tcW w:type="dxa" w:w="3200"/>
            <w:vAlign w:val="center"/>
          </w:tcPr>
          <w:p>
            <w:r>
              <w:rPr>
                <w:b w:val="false"/>
                <w:bCs w:val="false"/>
                <w:sz w:val="20"/>
                <w:szCs w:val="20"/>
              </w:rPr>
              <w:t xml:space="preserve">indicator_correlation_history</w:t>
            </w:r>
          </w:p>
        </w:tc>
        <w:tc>
          <w:tcPr>
            <w:tcW w:type="dxa" w:w="5826"/>
            <w:vAlign w:val="center"/>
          </w:tcPr>
          <w:p>
            <w:r>
              <w:rPr>
                <w:b w:val="false"/>
                <w:bCs w:val="false"/>
                <w:sz w:val="20"/>
                <w:szCs w:val="20"/>
              </w:rPr>
              <w:t xml:space="preserve">权重迭代历史记录表，每次批量分析后写入各子指标的信息系数（IC）与建议权重，含样本量是否达标（is_reliable）标记</w:t>
            </w:r>
          </w:p>
        </w:tc>
      </w:tr>
    </w:tbl>
    <w:p>
      <w:pPr>
        <w:spacing w:after="150"/>
      </w:pPr>
      <w:r>
        <w:t xml:space="preserve">该三张表的完整 SQL 定义已同步更新至项目仓库的 data/schema.sql 文件。</w:t>
      </w:r>
    </w:p>
    <w:p>
      <w:pPr>
        <w:pStyle w:val="Heading1"/>
        <w:spacing w:after="200" w:before="400"/>
      </w:pPr>
      <w:r>
        <w:t xml:space="preserve">7. 事件日历集成逻辑</w:t>
      </w:r>
    </w:p>
    <w:p>
      <w:pPr>
        <w:spacing w:after="150"/>
      </w:pPr>
      <w:r>
        <w:t xml:space="preserve">第3.3节列出的财报日历、OpEx 日历、除息日历、指数再平衡、宏观事件等数据源，若仅作为界面展示，评分系统本身并不知晓这些信息，等于数据被浪费。本章定义这些事件如何真正接入第5章的评分逻辑。</w:t>
      </w:r>
    </w:p>
    <w:p>
      <w:pPr>
        <w:pStyle w:val="Heading2"/>
        <w:spacing w:after="150" w:before="300"/>
      </w:pPr>
      <w:r>
        <w:t xml:space="preserve">7.1 设计原则：事件不参与打分，而是调节 Confidence Score</w:t>
      </w:r>
    </w:p>
    <w:p>
      <w:pPr>
        <w:spacing w:after="150"/>
      </w:pPr>
      <w:r>
        <w:t xml:space="preserve">事件信息（如"3天后有财报"）不应作为子指标混入第5章的加权表与 VWAP、RSI 等指标一起参与 Bull/Bear Score 的加权求和。事件的作用是改变对现有分数的信任程度，而非改变方向判断本身，这与 Confidence Score 的定义直接对应：</w:t>
      </w:r>
    </w:p>
    <w:p>
      <w:pPr>
        <w:spacing w:after="150"/>
      </w:pPr>
      <w:r>
        <w:t xml:space="preserve">最终展示逻辑 = 原始 Bull/Bear Score（不变）+ 按事件规则调整后的 Confidence Score + 独立的事件提示标签</w:t>
      </w:r>
    </w:p>
    <w:p>
      <w:pPr>
        <w:pStyle w:val="Heading2"/>
        <w:spacing w:after="150" w:before="300"/>
      </w:pPr>
      <w:r>
        <w:t xml:space="preserve">7.2 分事件类型的具体规则</w:t>
      </w:r>
    </w:p>
    <w:p>
      <w:pPr>
        <w:pStyle w:val="Heading3"/>
        <w:spacing w:after="100" w:before="200"/>
      </w:pPr>
      <w:r>
        <w:t xml:space="preserve">财报日历</w:t>
      </w:r>
    </w:p>
    <w:p>
      <w:pPr>
        <w:pStyle w:val="ListParagraph"/>
        <w:numPr>
          <w:ilvl w:val="0"/>
          <w:numId w:val="2"/>
        </w:numPr>
        <w:spacing w:after="80"/>
      </w:pPr>
      <w:r>
        <w:t xml:space="preserve">财报前 3 个交易日内：Confidence Score × 0.5，并附加标签"财报临近，历史规律可能失效"</w:t>
      </w:r>
    </w:p>
    <w:p>
      <w:pPr>
        <w:pStyle w:val="ListParagraph"/>
        <w:numPr>
          <w:ilvl w:val="0"/>
          <w:numId w:val="2"/>
        </w:numPr>
        <w:spacing w:after="80"/>
      </w:pPr>
      <w:r>
        <w:t xml:space="preserve">财报日期为"未确认"（estimated）状态：额外标注"日期未确认，谨慎安排到期日"，不受 3 日窗口限制</w:t>
      </w:r>
    </w:p>
    <w:p>
      <w:pPr>
        <w:pStyle w:val="ListParagraph"/>
        <w:numPr>
          <w:ilvl w:val="0"/>
          <w:numId w:val="2"/>
        </w:numPr>
        <w:spacing w:after="80"/>
      </w:pPr>
      <w:r>
        <w:t xml:space="preserve">设计依据：财报是评分系统基于历史技术形态失效的最大来源，Bull/Bear Score 本身不算错，只是这套方法论天然不适用于基本面驱动的窗口</w:t>
      </w:r>
    </w:p>
    <w:p>
      <w:pPr>
        <w:pStyle w:val="ListParagraph"/>
        <w:numPr>
          <w:ilvl w:val="0"/>
          <w:numId w:val="2"/>
        </w:numPr>
        <w:spacing w:after="80"/>
      </w:pPr>
      <w:r>
        <w:t xml:space="preserve">适用范围：intraday / swing / options 三场景直接适用（按标的自身财报日期判断）；leveraged_etf 场景需区分标的类型——target_type=broad_index 时不适用（宽基指数不存在单一财报日），target_type=single_stock 时适用，按标的个股自身财报日期判断（如 TSLL 按 TSLA 的财报日期）</w:t>
      </w:r>
    </w:p>
    <w:p>
      <w:pPr>
        <w:pStyle w:val="ListParagraph"/>
        <w:numPr>
          <w:ilvl w:val="0"/>
          <w:numId w:val="2"/>
        </w:numPr>
        <w:spacing w:after="80"/>
      </w:pPr>
      <w:r>
        <w:t xml:space="preserve">leveraged_etf 场景且 target_type=single_stock 的额外规则：财报前 3 个交易日内，除 Confidence×0.5 外，额外触发独立警示"标的个股财报临近，杠杆敞口风险被放大，建议主动降低仓位或提前平仓"，不参与打分，单独展示</w:t>
      </w:r>
    </w:p>
    <w:p>
      <w:pPr>
        <w:pStyle w:val="ListParagraph"/>
        <w:numPr>
          <w:ilvl w:val="0"/>
          <w:numId w:val="2"/>
        </w:numPr>
        <w:spacing w:after="80"/>
      </w:pPr>
      <w:r>
        <w:t xml:space="preserve">该独立警示的设计依据：Confidence Score 回答的是"方向判断是否可信"，而单票杠杆 ETF 的财报风险是"哪怕方向判断正确，杠杆倍数放大后的波动也可能超出可承受范围"——这是与方向判断无关的仓位/风险问题，与除权除息日的 covered call 警示同属一类，不适合仅靠调整 Confidence Score 表达，需要独立标签单独提示</w:t>
      </w:r>
    </w:p>
    <w:p>
      <w:pPr>
        <w:pStyle w:val="Heading3"/>
        <w:spacing w:after="100" w:before="200"/>
      </w:pPr>
      <w:r>
        <w:t xml:space="preserve">OpEx / Triple Witching 日历</w:t>
      </w:r>
    </w:p>
    <w:p>
      <w:pPr>
        <w:pStyle w:val="ListParagraph"/>
        <w:numPr>
          <w:ilvl w:val="0"/>
          <w:numId w:val="2"/>
        </w:numPr>
        <w:spacing w:after="80"/>
      </w:pPr>
      <w:r>
        <w:t xml:space="preserve">距离 OpEx ≤ 2 个交易日：期权场景中 Max Pain 子指标权重从 20% 临时提升至 35%（其余子指标等比例压缩）</w:t>
      </w:r>
    </w:p>
    <w:p>
      <w:pPr>
        <w:pStyle w:val="ListParagraph"/>
        <w:numPr>
          <w:ilvl w:val="0"/>
          <w:numId w:val="2"/>
        </w:numPr>
        <w:spacing w:after="80"/>
      </w:pPr>
      <w:r>
        <w:t xml:space="preserve">Triple Witching 当天：附加标签"三重魔力日，Gamma pinning 效应可能加剧"</w:t>
      </w:r>
    </w:p>
    <w:p>
      <w:pPr>
        <w:pStyle w:val="ListParagraph"/>
        <w:numPr>
          <w:ilvl w:val="0"/>
          <w:numId w:val="2"/>
        </w:numPr>
        <w:spacing w:after="80"/>
      </w:pPr>
      <w:r>
        <w:t xml:space="preserve">设计依据：第4.6节已标注 Max Pain 为"假设性质"，但该假设在临近 OpEx 时成立概率更高（做市商对冲行为在到期前集中释放），权重应动态调整而非固定</w:t>
      </w:r>
    </w:p>
    <w:p>
      <w:pPr>
        <w:pStyle w:val="Heading3"/>
        <w:spacing w:after="100" w:before="200"/>
      </w:pPr>
      <w:r>
        <w:t xml:space="preserve">除权除息日</w:t>
      </w:r>
    </w:p>
    <w:p>
      <w:pPr>
        <w:pStyle w:val="ListParagraph"/>
        <w:numPr>
          <w:ilvl w:val="0"/>
          <w:numId w:val="2"/>
        </w:numPr>
        <w:spacing w:after="80"/>
      </w:pPr>
      <w:r>
        <w:t xml:space="preserve">持仓标的除息日前 3 个交易日，且持有深度价内 Covered Call：触发独立警示"提前指派风险"，不参与 Bull/Bear/Confidence 计算，作为单独的风控提示展示</w:t>
      </w:r>
    </w:p>
    <w:p>
      <w:pPr>
        <w:pStyle w:val="ListParagraph"/>
        <w:numPr>
          <w:ilvl w:val="0"/>
          <w:numId w:val="2"/>
        </w:numPr>
        <w:spacing w:after="80"/>
      </w:pPr>
      <w:r>
        <w:t xml:space="preserve">设计依据：这是纯操作风险提醒，与涨跌方向无关，混入评分逻辑会让信号意义不清</w:t>
      </w:r>
    </w:p>
    <w:p>
      <w:pPr>
        <w:pStyle w:val="Heading3"/>
        <w:spacing w:after="100" w:before="200"/>
      </w:pPr>
      <w:r>
        <w:t xml:space="preserve">指数再平衡公告</w:t>
      </w:r>
    </w:p>
    <w:p>
      <w:pPr>
        <w:pStyle w:val="ListParagraph"/>
        <w:numPr>
          <w:ilvl w:val="0"/>
          <w:numId w:val="2"/>
        </w:numPr>
        <w:spacing w:after="80"/>
      </w:pPr>
      <w:r>
        <w:t xml:space="preserve">距离 Nasdaq-100 年度再平衡窗口 ≤ 5 个交易日：Confidence Score × 0.7</w:t>
      </w:r>
    </w:p>
    <w:p>
      <w:pPr>
        <w:pStyle w:val="ListParagraph"/>
        <w:numPr>
          <w:ilvl w:val="0"/>
          <w:numId w:val="2"/>
        </w:numPr>
        <w:spacing w:after="80"/>
      </w:pPr>
      <w:r>
        <w:t xml:space="preserve">设计依据：再平衡期间成交量和资金流出现非基本面驱动的异常，与财报窗口同属"历史规律不一定适用"的情形</w:t>
      </w:r>
    </w:p>
    <w:p>
      <w:pPr>
        <w:pStyle w:val="ListParagraph"/>
        <w:numPr>
          <w:ilvl w:val="0"/>
          <w:numId w:val="2"/>
        </w:numPr>
        <w:spacing w:after="80"/>
      </w:pPr>
      <w:r>
        <w:t xml:space="preserve">适用范围：仅 leveraged_etf 场景中 target_type=broad_index 时适用（再平衡影响的是指数成分和权重，与单一个股无关）；target_type=single_stock 时不适用</w:t>
      </w:r>
    </w:p>
    <w:p>
      <w:pPr>
        <w:pStyle w:val="Heading3"/>
        <w:spacing w:after="100" w:before="200"/>
      </w:pPr>
      <w:r>
        <w:t xml:space="preserve">宏观事件日历（FOMC / CPI / NFP / PCE）</w:t>
      </w:r>
    </w:p>
    <w:p>
      <w:pPr>
        <w:pStyle w:val="ListParagraph"/>
        <w:numPr>
          <w:ilvl w:val="0"/>
          <w:numId w:val="2"/>
        </w:numPr>
        <w:spacing w:after="80"/>
      </w:pPr>
      <w:r>
        <w:t xml:space="preserve">事件发生当天：所有场景 Confidence Score × 0.6</w:t>
      </w:r>
    </w:p>
    <w:p>
      <w:pPr>
        <w:pStyle w:val="ListParagraph"/>
        <w:numPr>
          <w:ilvl w:val="0"/>
          <w:numId w:val="2"/>
        </w:numPr>
        <w:spacing w:after="80"/>
      </w:pPr>
      <w:r>
        <w:t xml:space="preserve">事件发生后 1 个交易日：恢复至 × 0.85</w:t>
      </w:r>
    </w:p>
    <w:p>
      <w:pPr>
        <w:pStyle w:val="ListParagraph"/>
        <w:numPr>
          <w:ilvl w:val="0"/>
          <w:numId w:val="2"/>
        </w:numPr>
        <w:spacing w:after="80"/>
      </w:pPr>
      <w:r>
        <w:t xml:space="preserve">第 2 个交易日起：恢复正常</w:t>
      </w:r>
    </w:p>
    <w:p>
      <w:pPr>
        <w:pStyle w:val="ListParagraph"/>
        <w:numPr>
          <w:ilvl w:val="0"/>
          <w:numId w:val="2"/>
        </w:numPr>
        <w:spacing w:after="80"/>
      </w:pPr>
      <w:r>
        <w:t xml:space="preserve">设计依据：宏观数据发布瞬间的价格异动与个股技术面/期权结构几乎无关，评分系统在此窗口的整体可信度应下调，不分场景区别对待</w:t>
      </w:r>
    </w:p>
    <w:p>
      <w:pPr>
        <w:pStyle w:val="Heading2"/>
        <w:spacing w:after="150" w:before="300"/>
      </w:pPr>
      <w:r>
        <w:t xml:space="preserve">7.3 数据存储与可追溯性</w:t>
      </w:r>
    </w:p>
    <w:p>
      <w:pPr>
        <w:spacing w:after="150"/>
      </w:pPr>
      <w:r>
        <w:t xml:space="preserve">新增 event_score_adjustments 表，记录每次因事件触发的调整，用于事后审计与第6章回测框架验证这些规则本身是否有效：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F3B52" w:val="clear"/>
            <w:vAlign w:val="center"/>
          </w:tcPr>
          <w:p>
            <w:r>
              <w:rPr>
                <w:b/>
                <w:bCs/>
                <w:color w:val="FFFFFF"/>
                <w:sz w:val="20"/>
                <w:szCs w:val="20"/>
              </w:rPr>
              <w:t xml:space="preserve">字段</w:t>
            </w:r>
          </w:p>
        </w:tc>
        <w:tc>
          <w:tcPr>
            <w:tcW w:type="dxa" w:w="6426"/>
            <w:shd w:fill="2F3B52" w:val="clear"/>
            <w:vAlign w:val="center"/>
          </w:tcPr>
          <w:p>
            <w:r>
              <w:rPr>
                <w:b/>
                <w:bCs/>
                <w:color w:val="FFFFFF"/>
                <w:sz w:val="20"/>
                <w:szCs w:val="20"/>
              </w:rPr>
              <w:t xml:space="preserve">说明</w:t>
            </w:r>
          </w:p>
        </w:tc>
      </w:tr>
      <w:tr>
        <w:tc>
          <w:tcPr>
            <w:tcW w:type="dxa" w:w="2600"/>
            <w:vAlign w:val="center"/>
          </w:tcPr>
          <w:p>
            <w:r>
              <w:rPr>
                <w:b w:val="false"/>
                <w:bCs w:val="false"/>
                <w:sz w:val="20"/>
                <w:szCs w:val="20"/>
              </w:rPr>
              <w:t xml:space="preserve">symbol / ts / scenario</w:t>
            </w:r>
          </w:p>
        </w:tc>
        <w:tc>
          <w:tcPr>
            <w:tcW w:type="dxa" w:w="6426"/>
            <w:vAlign w:val="center"/>
          </w:tcPr>
          <w:p>
            <w:r>
              <w:rPr>
                <w:b w:val="false"/>
                <w:bCs w:val="false"/>
                <w:sz w:val="20"/>
                <w:szCs w:val="20"/>
              </w:rPr>
              <w:t xml:space="preserve">标的、时间、场景，定位一次调整发生的上下文</w:t>
            </w:r>
          </w:p>
        </w:tc>
      </w:tr>
      <w:tr>
        <w:tc>
          <w:tcPr>
            <w:tcW w:type="dxa" w:w="2600"/>
            <w:vAlign w:val="center"/>
          </w:tcPr>
          <w:p>
            <w:r>
              <w:rPr>
                <w:b w:val="false"/>
                <w:bCs w:val="false"/>
                <w:sz w:val="20"/>
                <w:szCs w:val="20"/>
              </w:rPr>
              <w:t xml:space="preserve">event_type</w:t>
            </w:r>
          </w:p>
        </w:tc>
        <w:tc>
          <w:tcPr>
            <w:tcW w:type="dxa" w:w="6426"/>
            <w:vAlign w:val="center"/>
          </w:tcPr>
          <w:p>
            <w:r>
              <w:rPr>
                <w:b w:val="false"/>
                <w:bCs w:val="false"/>
                <w:sz w:val="20"/>
                <w:szCs w:val="20"/>
              </w:rPr>
              <w:t xml:space="preserve">'earnings' / 'opex' / 'ex_dividend' / 'rebalance' / 'macro'</w:t>
            </w:r>
          </w:p>
        </w:tc>
      </w:tr>
      <w:tr>
        <w:tc>
          <w:tcPr>
            <w:tcW w:type="dxa" w:w="2600"/>
            <w:vAlign w:val="center"/>
          </w:tcPr>
          <w:p>
            <w:r>
              <w:rPr>
                <w:b w:val="false"/>
                <w:bCs w:val="false"/>
                <w:sz w:val="20"/>
                <w:szCs w:val="20"/>
              </w:rPr>
              <w:t xml:space="preserve">adjustment_type</w:t>
            </w:r>
          </w:p>
        </w:tc>
        <w:tc>
          <w:tcPr>
            <w:tcW w:type="dxa" w:w="6426"/>
            <w:vAlign w:val="center"/>
          </w:tcPr>
          <w:p>
            <w:r>
              <w:rPr>
                <w:b w:val="false"/>
                <w:bCs w:val="false"/>
                <w:sz w:val="20"/>
                <w:szCs w:val="20"/>
              </w:rPr>
              <w:t xml:space="preserve">'confidence_multiplier'（乘数调整）/ 'weight_shift'（权重迁移）/ 'independent_flag'（独立标签，不影响分数）</w:t>
            </w:r>
          </w:p>
        </w:tc>
      </w:tr>
      <w:tr>
        <w:tc>
          <w:tcPr>
            <w:tcW w:type="dxa" w:w="2600"/>
            <w:vAlign w:val="center"/>
          </w:tcPr>
          <w:p>
            <w:r>
              <w:rPr>
                <w:b w:val="false"/>
                <w:bCs w:val="false"/>
                <w:sz w:val="20"/>
                <w:szCs w:val="20"/>
              </w:rPr>
              <w:t xml:space="preserve">original_value / adjusted_value</w:t>
            </w:r>
          </w:p>
        </w:tc>
        <w:tc>
          <w:tcPr>
            <w:tcW w:type="dxa" w:w="6426"/>
            <w:vAlign w:val="center"/>
          </w:tcPr>
          <w:p>
            <w:r>
              <w:rPr>
                <w:b w:val="false"/>
                <w:bCs w:val="false"/>
                <w:sz w:val="20"/>
                <w:szCs w:val="20"/>
              </w:rPr>
              <w:t xml:space="preserve">调整前后的数值，用于追溯影响幅度</w:t>
            </w:r>
          </w:p>
        </w:tc>
      </w:tr>
    </w:tbl>
    <w:p>
      <w:pPr>
        <w:spacing w:after="150"/>
      </w:pPr>
      <w:r>
        <w:t xml:space="preserve">该表的完整 SQL 定义已同步更新至项目仓库的 data/schema.sql 文件。</w:t>
      </w:r>
    </w:p>
    <w:p>
      <w:pPr>
        <w:shd w:fill="FFF6DC" w:val="clear"/>
        <w:spacing w:after="150"/>
      </w:pPr>
      <w:r>
        <w:rPr>
          <w:i/>
          <w:iCs/>
          <w:color w:val="806000"/>
        </w:rPr>
        <w:t xml:space="preserve">本章所有具体系数（0.5、0.6、0.7、0.85、35% 权重提升等）与第5章的 V1 初始权重同属主观设定，需标注为"待验证"，待第6章回测框架积累历史数据后，用同样的方式验证这些事件调整规则本身是否真正提升了评分准确性，而非定义完就默认长期有效。</w:t>
      </w:r>
    </w:p>
    <w:p>
      <w:pPr>
        <w:pStyle w:val="Heading1"/>
        <w:spacing w:after="200" w:before="400"/>
      </w:pPr>
      <w:r>
        <w:t xml:space="preserve">8. 第五类：几乎无法自行获得的数据及重要性评估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226"/>
      </w:tblGrid>
      <w:tr>
        <w:trPr>
          <w:tblHeader/>
        </w:trPr>
        <w:tc>
          <w:tcPr>
            <w:tcW w:type="dxa" w:w="1800"/>
            <w:shd w:fill="2F3B52" w:val="clear"/>
            <w:vAlign w:val="center"/>
          </w:tcPr>
          <w:p>
            <w:r>
              <w:rPr>
                <w:b/>
                <w:bCs/>
                <w:color w:val="FFFFFF"/>
                <w:sz w:val="20"/>
                <w:szCs w:val="20"/>
              </w:rPr>
              <w:t xml:space="preserve">数据</w:t>
            </w:r>
          </w:p>
        </w:tc>
        <w:tc>
          <w:tcPr>
            <w:tcW w:type="dxa" w:w="2600"/>
            <w:shd w:fill="2F3B52" w:val="clear"/>
            <w:vAlign w:val="center"/>
          </w:tcPr>
          <w:p>
            <w:r>
              <w:rPr>
                <w:b/>
                <w:bCs/>
                <w:color w:val="FFFFFF"/>
                <w:sz w:val="20"/>
                <w:szCs w:val="20"/>
              </w:rPr>
              <w:t xml:space="preserve">为什么不能自算</w:t>
            </w:r>
          </w:p>
        </w:tc>
        <w:tc>
          <w:tcPr>
            <w:tcW w:type="dxa" w:w="2400"/>
            <w:shd w:fill="2F3B52" w:val="clear"/>
            <w:vAlign w:val="center"/>
          </w:tcPr>
          <w:p>
            <w:r>
              <w:rPr>
                <w:b/>
                <w:bCs/>
                <w:color w:val="FFFFFF"/>
                <w:sz w:val="20"/>
                <w:szCs w:val="20"/>
              </w:rPr>
              <w:t xml:space="preserve">对当前四场景重要性</w:t>
            </w:r>
          </w:p>
        </w:tc>
        <w:tc>
          <w:tcPr>
            <w:tcW w:type="dxa" w:w="2226"/>
            <w:shd w:fill="2F3B52" w:val="clear"/>
            <w:vAlign w:val="center"/>
          </w:tcPr>
          <w:p>
            <w:r>
              <w:rPr>
                <w:b/>
                <w:bCs/>
                <w:color w:val="FFFFFF"/>
                <w:sz w:val="20"/>
                <w:szCs w:val="20"/>
              </w:rPr>
              <w:t xml:space="preserve">建议</w:t>
            </w:r>
          </w:p>
        </w:tc>
      </w:tr>
      <w:tr>
        <w:tc>
          <w:tcPr>
            <w:tcW w:type="dxa" w:w="1800"/>
            <w:vAlign w:val="center"/>
          </w:tcPr>
          <w:p>
            <w:r>
              <w:rPr>
                <w:b w:val="false"/>
                <w:bCs w:val="false"/>
                <w:sz w:val="20"/>
                <w:szCs w:val="20"/>
              </w:rPr>
              <w:t xml:space="preserve">Sweep（扫单）</w:t>
            </w:r>
          </w:p>
        </w:tc>
        <w:tc>
          <w:tcPr>
            <w:tcW w:type="dxa" w:w="2600"/>
            <w:vAlign w:val="center"/>
          </w:tcPr>
          <w:p>
            <w:r>
              <w:rPr>
                <w:b w:val="false"/>
                <w:bCs w:val="false"/>
                <w:sz w:val="20"/>
                <w:szCs w:val="20"/>
              </w:rPr>
              <w:t xml:space="preserve">需跨交易所实时识别订单</w:t>
            </w:r>
          </w:p>
        </w:tc>
        <w:tc>
          <w:tcPr>
            <w:tcW w:type="dxa" w:w="2400"/>
            <w:vAlign w:val="center"/>
          </w:tcPr>
          <w:p>
            <w:r>
              <w:rPr>
                <w:b w:val="false"/>
                <w:bCs w:val="false"/>
                <w:sz w:val="20"/>
                <w:szCs w:val="20"/>
              </w:rPr>
              <w:t xml:space="preserve">低（仅"跟随大单"策略需要）</w:t>
            </w:r>
          </w:p>
        </w:tc>
        <w:tc>
          <w:tcPr>
            <w:tcW w:type="dxa" w:w="2226"/>
            <w:vAlign w:val="center"/>
          </w:tcPr>
          <w:p>
            <w:r>
              <w:rPr>
                <w:b w:val="false"/>
                <w:bCs w:val="false"/>
                <w:sz w:val="20"/>
                <w:szCs w:val="20"/>
              </w:rPr>
              <w:t xml:space="preserve">暂不采购</w:t>
            </w:r>
          </w:p>
        </w:tc>
      </w:tr>
      <w:tr>
        <w:tc>
          <w:tcPr>
            <w:tcW w:type="dxa" w:w="1800"/>
            <w:vAlign w:val="center"/>
          </w:tcPr>
          <w:p>
            <w:r>
              <w:rPr>
                <w:b w:val="false"/>
                <w:bCs w:val="false"/>
                <w:sz w:val="20"/>
                <w:szCs w:val="20"/>
              </w:rPr>
              <w:t xml:space="preserve">Block Trade（大宗成交）</w:t>
            </w:r>
          </w:p>
        </w:tc>
        <w:tc>
          <w:tcPr>
            <w:tcW w:type="dxa" w:w="2600"/>
            <w:vAlign w:val="center"/>
          </w:tcPr>
          <w:p>
            <w:r>
              <w:rPr>
                <w:b w:val="false"/>
                <w:bCs w:val="false"/>
                <w:sz w:val="20"/>
                <w:szCs w:val="20"/>
              </w:rPr>
              <w:t xml:space="preserve">需专业识别规则</w:t>
            </w:r>
          </w:p>
        </w:tc>
        <w:tc>
          <w:tcPr>
            <w:tcW w:type="dxa" w:w="2400"/>
            <w:vAlign w:val="center"/>
          </w:tcPr>
          <w:p>
            <w:r>
              <w:rPr>
                <w:b w:val="false"/>
                <w:bCs w:val="false"/>
                <w:sz w:val="20"/>
                <w:szCs w:val="20"/>
              </w:rPr>
              <w:t xml:space="preserve">低—中（波段场景略有参考价值）</w:t>
            </w:r>
          </w:p>
        </w:tc>
        <w:tc>
          <w:tcPr>
            <w:tcW w:type="dxa" w:w="2226"/>
            <w:vAlign w:val="center"/>
          </w:tcPr>
          <w:p>
            <w:r>
              <w:rPr>
                <w:b w:val="false"/>
                <w:bCs w:val="false"/>
                <w:sz w:val="20"/>
                <w:szCs w:val="20"/>
              </w:rPr>
              <w:t xml:space="preserve">暂不采购</w:t>
            </w:r>
          </w:p>
        </w:tc>
      </w:tr>
      <w:tr>
        <w:tc>
          <w:tcPr>
            <w:tcW w:type="dxa" w:w="1800"/>
            <w:vAlign w:val="center"/>
          </w:tcPr>
          <w:p>
            <w:r>
              <w:rPr>
                <w:b w:val="false"/>
                <w:bCs w:val="false"/>
                <w:sz w:val="20"/>
                <w:szCs w:val="20"/>
              </w:rPr>
              <w:t xml:space="preserve">Options Flow（资金流分类）</w:t>
            </w:r>
          </w:p>
        </w:tc>
        <w:tc>
          <w:tcPr>
            <w:tcW w:type="dxa" w:w="2600"/>
            <w:vAlign w:val="center"/>
          </w:tcPr>
          <w:p>
            <w:r>
              <w:rPr>
                <w:b w:val="false"/>
                <w:bCs w:val="false"/>
                <w:sz w:val="20"/>
                <w:szCs w:val="20"/>
              </w:rPr>
              <w:t xml:space="preserve">买卖方向判断需成熟算法</w:t>
            </w:r>
          </w:p>
        </w:tc>
        <w:tc>
          <w:tcPr>
            <w:tcW w:type="dxa" w:w="2400"/>
            <w:vAlign w:val="center"/>
          </w:tcPr>
          <w:p>
            <w:r>
              <w:rPr>
                <w:b w:val="false"/>
                <w:bCs w:val="false"/>
                <w:sz w:val="20"/>
                <w:szCs w:val="20"/>
              </w:rPr>
              <w:t xml:space="preserve">中（对期权场景相关性最高，但准确率有限）</w:t>
            </w:r>
          </w:p>
        </w:tc>
        <w:tc>
          <w:tcPr>
            <w:tcW w:type="dxa" w:w="2226"/>
            <w:vAlign w:val="center"/>
          </w:tcPr>
          <w:p>
            <w:r>
              <w:rPr>
                <w:b w:val="false"/>
                <w:bCs w:val="false"/>
                <w:sz w:val="20"/>
                <w:szCs w:val="20"/>
              </w:rPr>
              <w:t xml:space="preserve">暂不采购，等待具体策略需求确认</w:t>
            </w:r>
          </w:p>
        </w:tc>
      </w:tr>
      <w:tr>
        <w:tc>
          <w:tcPr>
            <w:tcW w:type="dxa" w:w="1800"/>
            <w:vAlign w:val="center"/>
          </w:tcPr>
          <w:p>
            <w:r>
              <w:rPr>
                <w:b w:val="false"/>
                <w:bCs w:val="false"/>
                <w:sz w:val="20"/>
                <w:szCs w:val="20"/>
              </w:rPr>
              <w:t xml:space="preserve">Dealer Position（真实做市商仓位）</w:t>
            </w:r>
          </w:p>
        </w:tc>
        <w:tc>
          <w:tcPr>
            <w:tcW w:type="dxa" w:w="2600"/>
            <w:vAlign w:val="center"/>
          </w:tcPr>
          <w:p>
            <w:r>
              <w:rPr>
                <w:b w:val="false"/>
                <w:bCs w:val="false"/>
                <w:sz w:val="20"/>
                <w:szCs w:val="20"/>
              </w:rPr>
              <w:t xml:space="preserve">市场无公开数据，购买产品同样是估算</w:t>
            </w:r>
          </w:p>
        </w:tc>
        <w:tc>
          <w:tcPr>
            <w:tcW w:type="dxa" w:w="2400"/>
            <w:vAlign w:val="center"/>
          </w:tcPr>
          <w:p>
            <w:r>
              <w:rPr>
                <w:b w:val="false"/>
                <w:bCs w:val="false"/>
                <w:sz w:val="20"/>
                <w:szCs w:val="20"/>
              </w:rPr>
              <w:t xml:space="preserve">不适用</w:t>
            </w:r>
          </w:p>
        </w:tc>
        <w:tc>
          <w:tcPr>
            <w:tcW w:type="dxa" w:w="2226"/>
            <w:vAlign w:val="center"/>
          </w:tcPr>
          <w:p>
            <w:r>
              <w:rPr>
                <w:b w:val="false"/>
                <w:bCs w:val="false"/>
                <w:sz w:val="20"/>
                <w:szCs w:val="20"/>
              </w:rPr>
              <w:t xml:space="preserve">不采购——用自算估算模型替代即可</w:t>
            </w:r>
          </w:p>
        </w:tc>
      </w:tr>
      <w:tr>
        <w:tc>
          <w:tcPr>
            <w:tcW w:type="dxa" w:w="1800"/>
            <w:vAlign w:val="center"/>
          </w:tcPr>
          <w:p>
            <w:r>
              <w:rPr>
                <w:b w:val="false"/>
                <w:bCs w:val="false"/>
                <w:sz w:val="20"/>
                <w:szCs w:val="20"/>
              </w:rPr>
              <w:t xml:space="preserve">实时 Short Interest</w:t>
            </w:r>
          </w:p>
        </w:tc>
        <w:tc>
          <w:tcPr>
            <w:tcW w:type="dxa" w:w="2600"/>
            <w:vAlign w:val="center"/>
          </w:tcPr>
          <w:p>
            <w:r>
              <w:rPr>
                <w:b w:val="false"/>
                <w:bCs w:val="false"/>
                <w:sz w:val="20"/>
                <w:szCs w:val="20"/>
              </w:rPr>
              <w:t xml:space="preserve">FINRA 官方数据延迟约两周</w:t>
            </w:r>
          </w:p>
        </w:tc>
        <w:tc>
          <w:tcPr>
            <w:tcW w:type="dxa" w:w="2400"/>
            <w:vAlign w:val="center"/>
          </w:tcPr>
          <w:p>
            <w:r>
              <w:rPr>
                <w:b w:val="false"/>
                <w:bCs w:val="false"/>
                <w:sz w:val="20"/>
                <w:szCs w:val="20"/>
              </w:rPr>
              <w:t xml:space="preserve">中（逼空策略场景）</w:t>
            </w:r>
          </w:p>
        </w:tc>
        <w:tc>
          <w:tcPr>
            <w:tcW w:type="dxa" w:w="2226"/>
            <w:vAlign w:val="center"/>
          </w:tcPr>
          <w:p>
            <w:r>
              <w:rPr>
                <w:b w:val="false"/>
                <w:bCs w:val="false"/>
                <w:sz w:val="20"/>
                <w:szCs w:val="20"/>
              </w:rPr>
              <w:t xml:space="preserve">先用免费延迟版，逼空为核心打法时再考虑 Ortex/S3</w:t>
            </w:r>
          </w:p>
        </w:tc>
      </w:tr>
    </w:tbl>
    <w:p>
      <w:pPr>
        <w:pStyle w:val="Heading1"/>
        <w:spacing w:after="200" w:before="400"/>
      </w:pPr>
      <w:r>
        <w:t xml:space="preserve">9. Phase 2：付费升级触发条件</w:t>
      </w:r>
    </w:p>
    <w:p>
      <w:pPr>
        <w:spacing w:after="150"/>
      </w:pPr>
      <w:r>
        <w:t xml:space="preserve">以下各项仅在满足对应触发条件时才考虑采购，不预先订阅：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shd w:fill="2F3B52" w:val="clear"/>
            <w:vAlign w:val="center"/>
          </w:tcPr>
          <w:p>
            <w:r>
              <w:rPr>
                <w:b/>
                <w:bCs/>
                <w:color w:val="FFFFFF"/>
                <w:sz w:val="20"/>
                <w:szCs w:val="20"/>
              </w:rPr>
              <w:t xml:space="preserve">数据/服务</w:t>
            </w:r>
          </w:p>
        </w:tc>
        <w:tc>
          <w:tcPr>
            <w:tcW w:type="dxa" w:w="3800"/>
            <w:shd w:fill="2F3B52" w:val="clear"/>
            <w:vAlign w:val="center"/>
          </w:tcPr>
          <w:p>
            <w:r>
              <w:rPr>
                <w:b/>
                <w:bCs/>
                <w:color w:val="FFFFFF"/>
                <w:sz w:val="20"/>
                <w:szCs w:val="20"/>
              </w:rPr>
              <w:t xml:space="preserve">触发条件</w:t>
            </w:r>
          </w:p>
        </w:tc>
        <w:tc>
          <w:tcPr>
            <w:tcW w:type="dxa" w:w="2826"/>
            <w:shd w:fill="2F3B52" w:val="clear"/>
            <w:vAlign w:val="center"/>
          </w:tcPr>
          <w:p>
            <w:r>
              <w:rPr>
                <w:b/>
                <w:bCs/>
                <w:color w:val="FFFFFF"/>
                <w:sz w:val="20"/>
                <w:szCs w:val="20"/>
              </w:rPr>
              <w:t xml:space="preserve">备注</w:t>
            </w:r>
          </w:p>
        </w:tc>
      </w:tr>
      <w:tr>
        <w:tc>
          <w:tcPr>
            <w:tcW w:type="dxa" w:w="2400"/>
            <w:vAlign w:val="center"/>
          </w:tcPr>
          <w:p>
            <w:r>
              <w:rPr>
                <w:b w:val="false"/>
                <w:bCs w:val="false"/>
                <w:sz w:val="20"/>
                <w:szCs w:val="20"/>
              </w:rPr>
              <w:t xml:space="preserve">Benzinga Pro 结构化实时新闻</w:t>
            </w:r>
          </w:p>
        </w:tc>
        <w:tc>
          <w:tcPr>
            <w:tcW w:type="dxa" w:w="3800"/>
            <w:vAlign w:val="center"/>
          </w:tcPr>
          <w:p>
            <w:r>
              <w:rPr>
                <w:b w:val="false"/>
                <w:bCs w:val="false"/>
                <w:sz w:val="20"/>
                <w:szCs w:val="20"/>
              </w:rPr>
              <w:t xml:space="preserve">日内短线确立为核心打法，验证出新闻驱动信号有效</w:t>
            </w:r>
          </w:p>
        </w:tc>
        <w:tc>
          <w:tcPr>
            <w:tcW w:type="dxa" w:w="2826"/>
            <w:vAlign w:val="center"/>
          </w:tcPr>
          <w:p>
            <w:r>
              <w:rPr>
                <w:b w:val="false"/>
                <w:bCs w:val="false"/>
                <w:sz w:val="20"/>
                <w:szCs w:val="20"/>
              </w:rPr>
              <w:t xml:space="preserve">目前架构中唯一明确建议"该花钱"的项目；定价需联系官方销售</w:t>
            </w:r>
          </w:p>
        </w:tc>
      </w:tr>
      <w:tr>
        <w:tc>
          <w:tcPr>
            <w:tcW w:type="dxa" w:w="2400"/>
            <w:vAlign w:val="center"/>
          </w:tcPr>
          <w:p>
            <w:r>
              <w:rPr>
                <w:b w:val="false"/>
                <w:bCs w:val="false"/>
                <w:sz w:val="20"/>
                <w:szCs w:val="20"/>
              </w:rPr>
              <w:t xml:space="preserve">分析师预期修正趋势深度数据</w:t>
            </w:r>
          </w:p>
        </w:tc>
        <w:tc>
          <w:tcPr>
            <w:tcW w:type="dxa" w:w="3800"/>
            <w:vAlign w:val="center"/>
          </w:tcPr>
          <w:p>
            <w:r>
              <w:rPr>
                <w:b w:val="false"/>
                <w:bCs w:val="false"/>
                <w:sz w:val="20"/>
                <w:szCs w:val="20"/>
              </w:rPr>
              <w:t xml:space="preserve">Finnhub 免费层覆盖深度经实测不足</w:t>
            </w:r>
          </w:p>
        </w:tc>
        <w:tc>
          <w:tcPr>
            <w:tcW w:type="dxa" w:w="2826"/>
            <w:vAlign w:val="center"/>
          </w:tcPr>
          <w:p>
            <w:r>
              <w:rPr>
                <w:b w:val="false"/>
                <w:bCs w:val="false"/>
                <w:sz w:val="20"/>
                <w:szCs w:val="20"/>
              </w:rPr>
              <w:t xml:space="preserve">优先级低</w:t>
            </w:r>
          </w:p>
        </w:tc>
      </w:tr>
      <w:tr>
        <w:tc>
          <w:tcPr>
            <w:tcW w:type="dxa" w:w="2400"/>
            <w:vAlign w:val="center"/>
          </w:tcPr>
          <w:p>
            <w:r>
              <w:rPr>
                <w:b w:val="false"/>
                <w:bCs w:val="false"/>
                <w:sz w:val="20"/>
                <w:szCs w:val="20"/>
              </w:rPr>
              <w:t xml:space="preserve">Options Flow / Sweep 数据商</w:t>
            </w:r>
          </w:p>
        </w:tc>
        <w:tc>
          <w:tcPr>
            <w:tcW w:type="dxa" w:w="3800"/>
            <w:vAlign w:val="center"/>
          </w:tcPr>
          <w:p>
            <w:r>
              <w:rPr>
                <w:b w:val="false"/>
                <w:bCs w:val="false"/>
                <w:sz w:val="20"/>
                <w:szCs w:val="20"/>
              </w:rPr>
              <w:t xml:space="preserve">明确要做"跟随大单进场"类策略</w:t>
            </w:r>
          </w:p>
        </w:tc>
        <w:tc>
          <w:tcPr>
            <w:tcW w:type="dxa" w:w="2826"/>
            <w:vAlign w:val="center"/>
          </w:tcPr>
          <w:p>
            <w:r>
              <w:rPr>
                <w:b w:val="false"/>
                <w:bCs w:val="false"/>
                <w:sz w:val="20"/>
                <w:szCs w:val="20"/>
              </w:rPr>
              <w:t xml:space="preserve">优先级低</w:t>
            </w:r>
          </w:p>
        </w:tc>
      </w:tr>
      <w:tr>
        <w:tc>
          <w:tcPr>
            <w:tcW w:type="dxa" w:w="2400"/>
            <w:vAlign w:val="center"/>
          </w:tcPr>
          <w:p>
            <w:r>
              <w:rPr>
                <w:b w:val="false"/>
                <w:bCs w:val="false"/>
                <w:sz w:val="20"/>
                <w:szCs w:val="20"/>
              </w:rPr>
              <w:t xml:space="preserve">实时短仓估算（Ortex/S3）</w:t>
            </w:r>
          </w:p>
        </w:tc>
        <w:tc>
          <w:tcPr>
            <w:tcW w:type="dxa" w:w="3800"/>
            <w:vAlign w:val="center"/>
          </w:tcPr>
          <w:p>
            <w:r>
              <w:rPr>
                <w:b w:val="false"/>
                <w:bCs w:val="false"/>
                <w:sz w:val="20"/>
                <w:szCs w:val="20"/>
              </w:rPr>
              <w:t xml:space="preserve">逼空策略成为核心打法</w:t>
            </w:r>
          </w:p>
        </w:tc>
        <w:tc>
          <w:tcPr>
            <w:tcW w:type="dxa" w:w="2826"/>
            <w:vAlign w:val="center"/>
          </w:tcPr>
          <w:p>
            <w:r>
              <w:rPr>
                <w:b w:val="false"/>
                <w:bCs w:val="false"/>
                <w:sz w:val="20"/>
                <w:szCs w:val="20"/>
              </w:rPr>
              <w:t xml:space="preserve">本质仍是估算值，非真实仓位</w:t>
            </w:r>
          </w:p>
        </w:tc>
      </w:tr>
      <w:tr>
        <w:tc>
          <w:tcPr>
            <w:tcW w:type="dxa" w:w="2400"/>
            <w:vAlign w:val="center"/>
          </w:tcPr>
          <w:p>
            <w:r>
              <w:rPr>
                <w:b w:val="false"/>
                <w:bCs w:val="false"/>
                <w:sz w:val="20"/>
                <w:szCs w:val="20"/>
              </w:rPr>
              <w:t xml:space="preserve">Polygon/Databento 实时 Tick/L2</w:t>
            </w:r>
          </w:p>
        </w:tc>
        <w:tc>
          <w:tcPr>
            <w:tcW w:type="dxa" w:w="3800"/>
            <w:vAlign w:val="center"/>
          </w:tcPr>
          <w:p>
            <w:r>
              <w:rPr>
                <w:b w:val="false"/>
                <w:bCs w:val="false"/>
                <w:sz w:val="20"/>
                <w:szCs w:val="20"/>
              </w:rPr>
              <w:t xml:space="preserve">IBKR 数据经实测无法满足某具体场景的颗粒度要求</w:t>
            </w:r>
          </w:p>
        </w:tc>
        <w:tc>
          <w:tcPr>
            <w:tcW w:type="dxa" w:w="2826"/>
            <w:vAlign w:val="center"/>
          </w:tcPr>
          <w:p>
            <w:r>
              <w:rPr>
                <w:b w:val="false"/>
                <w:bCs w:val="false"/>
                <w:sz w:val="20"/>
                <w:szCs w:val="20"/>
              </w:rPr>
              <w:t xml:space="preserve">先确认 IBKR 缺口边界，再针对性采购，避免整体订阅</w:t>
            </w:r>
          </w:p>
        </w:tc>
      </w:tr>
    </w:tbl>
    <w:p>
      <w:pPr>
        <w:pStyle w:val="Heading1"/>
        <w:spacing w:after="200" w:before="400"/>
      </w:pPr>
      <w:r>
        <w:t xml:space="preserve">10. 技术栈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shd w:fill="2F3B52" w:val="clear"/>
            <w:vAlign w:val="center"/>
          </w:tcPr>
          <w:p>
            <w:r>
              <w:rPr>
                <w:b/>
                <w:bCs/>
                <w:color w:val="FFFFFF"/>
                <w:sz w:val="20"/>
                <w:szCs w:val="20"/>
              </w:rPr>
              <w:t xml:space="preserve">组件</w:t>
            </w:r>
          </w:p>
        </w:tc>
        <w:tc>
          <w:tcPr>
            <w:tcW w:type="dxa" w:w="2800"/>
            <w:shd w:fill="2F3B52" w:val="clear"/>
            <w:vAlign w:val="center"/>
          </w:tcPr>
          <w:p>
            <w:r>
              <w:rPr>
                <w:b/>
                <w:bCs/>
                <w:color w:val="FFFFFF"/>
                <w:sz w:val="20"/>
                <w:szCs w:val="20"/>
              </w:rPr>
              <w:t xml:space="preserve">选型</w:t>
            </w:r>
          </w:p>
        </w:tc>
        <w:tc>
          <w:tcPr>
            <w:tcW w:type="dxa" w:w="4426"/>
            <w:shd w:fill="2F3B52" w:val="clear"/>
            <w:vAlign w:val="center"/>
          </w:tcPr>
          <w:p>
            <w:r>
              <w:rPr>
                <w:b/>
                <w:bCs/>
                <w:color w:val="FFFFFF"/>
                <w:sz w:val="20"/>
                <w:szCs w:val="20"/>
              </w:rPr>
              <w:t xml:space="preserve">说明</w:t>
            </w:r>
          </w:p>
        </w:tc>
      </w:tr>
      <w:tr>
        <w:tc>
          <w:tcPr>
            <w:tcW w:type="dxa" w:w="1800"/>
            <w:vAlign w:val="center"/>
          </w:tcPr>
          <w:p>
            <w:r>
              <w:rPr>
                <w:b w:val="false"/>
                <w:bCs w:val="false"/>
                <w:sz w:val="20"/>
                <w:szCs w:val="20"/>
              </w:rPr>
              <w:t xml:space="preserve">数据库</w:t>
            </w:r>
          </w:p>
        </w:tc>
        <w:tc>
          <w:tcPr>
            <w:tcW w:type="dxa" w:w="2800"/>
            <w:vAlign w:val="center"/>
          </w:tcPr>
          <w:p>
            <w:r>
              <w:rPr>
                <w:b w:val="false"/>
                <w:bCs w:val="false"/>
                <w:sz w:val="20"/>
                <w:szCs w:val="20"/>
              </w:rPr>
              <w:t xml:space="preserve">PostgreSQL + TimescaleDB</w:t>
            </w:r>
          </w:p>
        </w:tc>
        <w:tc>
          <w:tcPr>
            <w:tcW w:type="dxa" w:w="4426"/>
            <w:vAlign w:val="center"/>
          </w:tcPr>
          <w:p>
            <w:r>
              <w:rPr>
                <w:b w:val="false"/>
                <w:bCs w:val="false"/>
                <w:sz w:val="20"/>
                <w:szCs w:val="20"/>
              </w:rPr>
              <w:t xml:space="preserve">金融时间序列场景成熟选型，免费，支持大规模历史数据</w:t>
            </w:r>
          </w:p>
        </w:tc>
      </w:tr>
      <w:tr>
        <w:tc>
          <w:tcPr>
            <w:tcW w:type="dxa" w:w="1800"/>
            <w:vAlign w:val="center"/>
          </w:tcPr>
          <w:p>
            <w:r>
              <w:rPr>
                <w:b w:val="false"/>
                <w:bCs w:val="false"/>
                <w:sz w:val="20"/>
                <w:szCs w:val="20"/>
              </w:rPr>
              <w:t xml:space="preserve">缓存</w:t>
            </w:r>
          </w:p>
        </w:tc>
        <w:tc>
          <w:tcPr>
            <w:tcW w:type="dxa" w:w="2800"/>
            <w:vAlign w:val="center"/>
          </w:tcPr>
          <w:p>
            <w:r>
              <w:rPr>
                <w:b w:val="false"/>
                <w:bCs w:val="false"/>
                <w:sz w:val="20"/>
                <w:szCs w:val="20"/>
              </w:rPr>
              <w:t xml:space="preserve">Redis</w:t>
            </w:r>
          </w:p>
        </w:tc>
        <w:tc>
          <w:tcPr>
            <w:tcW w:type="dxa" w:w="4426"/>
            <w:vAlign w:val="center"/>
          </w:tcPr>
          <w:p>
            <w:r>
              <w:rPr>
                <w:b w:val="false"/>
                <w:bCs w:val="false"/>
                <w:sz w:val="20"/>
                <w:szCs w:val="20"/>
              </w:rPr>
              <w:t xml:space="preserve">实时行情与最新计算结果缓存</w:t>
            </w:r>
          </w:p>
        </w:tc>
      </w:tr>
      <w:tr>
        <w:tc>
          <w:tcPr>
            <w:tcW w:type="dxa" w:w="1800"/>
            <w:vAlign w:val="center"/>
          </w:tcPr>
          <w:p>
            <w:r>
              <w:rPr>
                <w:b w:val="false"/>
                <w:bCs w:val="false"/>
                <w:sz w:val="20"/>
                <w:szCs w:val="20"/>
              </w:rPr>
              <w:t xml:space="preserve">离线分析/回测</w:t>
            </w:r>
          </w:p>
        </w:tc>
        <w:tc>
          <w:tcPr>
            <w:tcW w:type="dxa" w:w="2800"/>
            <w:vAlign w:val="center"/>
          </w:tcPr>
          <w:p>
            <w:r>
              <w:rPr>
                <w:b w:val="false"/>
                <w:bCs w:val="false"/>
                <w:sz w:val="20"/>
                <w:szCs w:val="20"/>
              </w:rPr>
              <w:t xml:space="preserve">DuckDB（补充）</w:t>
            </w:r>
          </w:p>
        </w:tc>
        <w:tc>
          <w:tcPr>
            <w:tcW w:type="dxa" w:w="4426"/>
            <w:vAlign w:val="center"/>
          </w:tcPr>
          <w:p>
            <w:r>
              <w:rPr>
                <w:b w:val="false"/>
                <w:bCs w:val="false"/>
                <w:sz w:val="20"/>
                <w:szCs w:val="20"/>
              </w:rPr>
              <w:t xml:space="preserve">列式存储，免部署，适合历史数据批量分析与策略回测，与 TimescaleDB 分工：线上实时用 TimescaleDB，研究性批量分析用 DuckDB</w:t>
            </w:r>
          </w:p>
        </w:tc>
      </w:tr>
      <w:tr>
        <w:tc>
          <w:tcPr>
            <w:tcW w:type="dxa" w:w="1800"/>
            <w:vAlign w:val="center"/>
          </w:tcPr>
          <w:p>
            <w:r>
              <w:rPr>
                <w:b w:val="false"/>
                <w:bCs w:val="false"/>
                <w:sz w:val="20"/>
                <w:szCs w:val="20"/>
              </w:rPr>
              <w:t xml:space="preserve">对象存储（可选）</w:t>
            </w:r>
          </w:p>
        </w:tc>
        <w:tc>
          <w:tcPr>
            <w:tcW w:type="dxa" w:w="2800"/>
            <w:vAlign w:val="center"/>
          </w:tcPr>
          <w:p>
            <w:r>
              <w:rPr>
                <w:b w:val="false"/>
                <w:bCs w:val="false"/>
                <w:sz w:val="20"/>
                <w:szCs w:val="20"/>
              </w:rPr>
              <w:t xml:space="preserve">MinIO / 本地 NAS</w:t>
            </w:r>
          </w:p>
        </w:tc>
        <w:tc>
          <w:tcPr>
            <w:tcW w:type="dxa" w:w="4426"/>
            <w:vAlign w:val="center"/>
          </w:tcPr>
          <w:p>
            <w:r>
              <w:rPr>
                <w:b w:val="false"/>
                <w:bCs w:val="false"/>
                <w:sz w:val="20"/>
                <w:szCs w:val="20"/>
              </w:rPr>
              <w:t xml:space="preserve">回测数据、日志、模型文件</w:t>
            </w:r>
          </w:p>
        </w:tc>
      </w:tr>
      <w:tr>
        <w:tc>
          <w:tcPr>
            <w:tcW w:type="dxa" w:w="1800"/>
            <w:vAlign w:val="center"/>
          </w:tcPr>
          <w:p>
            <w:r>
              <w:rPr>
                <w:b w:val="false"/>
                <w:bCs w:val="false"/>
                <w:sz w:val="20"/>
                <w:szCs w:val="20"/>
              </w:rPr>
              <w:t xml:space="preserve">开发语言</w:t>
            </w:r>
          </w:p>
        </w:tc>
        <w:tc>
          <w:tcPr>
            <w:tcW w:type="dxa" w:w="2800"/>
            <w:vAlign w:val="center"/>
          </w:tcPr>
          <w:p>
            <w:r>
              <w:rPr>
                <w:b w:val="false"/>
                <w:bCs w:val="false"/>
                <w:sz w:val="20"/>
                <w:szCs w:val="20"/>
              </w:rPr>
              <w:t xml:space="preserve">Python</w:t>
            </w:r>
          </w:p>
        </w:tc>
        <w:tc>
          <w:tcPr>
            <w:tcW w:type="dxa" w:w="4426"/>
            <w:vAlign w:val="center"/>
          </w:tcPr>
          <w:p>
            <w:r>
              <w:rPr>
                <w:b w:val="false"/>
                <w:bCs w:val="false"/>
                <w:sz w:val="20"/>
                <w:szCs w:val="20"/>
              </w:rPr>
              <w:t xml:space="preserve">金融生态成熟，Greeks 计算、回测、AI 集成均有现成库</w:t>
            </w:r>
          </w:p>
        </w:tc>
      </w:tr>
    </w:tbl>
    <w:p>
      <w:pPr>
        <w:pStyle w:val="Heading1"/>
        <w:spacing w:after="200" w:before="400"/>
      </w:pPr>
      <w:r>
        <w:t xml:space="preserve">11. 分阶段路线图</w:t>
      </w:r>
    </w:p>
    <w:p>
      <w:pPr>
        <w:pStyle w:val="Heading2"/>
        <w:spacing w:after="150" w:before="300"/>
      </w:pPr>
      <w:r>
        <w:t xml:space="preserve">Phase 1（零成本验证）</w:t>
      </w:r>
    </w:p>
    <w:p>
      <w:pPr>
        <w:pStyle w:val="ListParagraph"/>
        <w:numPr>
          <w:ilvl w:val="0"/>
          <w:numId w:val="2"/>
        </w:numPr>
        <w:spacing w:after="80"/>
      </w:pPr>
      <w:r>
        <w:t xml:space="preserve">数据源：IBKR 现成数据 + Finnhub 免费层 + 官方免费日历</w:t>
      </w:r>
    </w:p>
    <w:p>
      <w:pPr>
        <w:pStyle w:val="ListParagraph"/>
        <w:numPr>
          <w:ilvl w:val="0"/>
          <w:numId w:val="2"/>
        </w:numPr>
        <w:spacing w:after="80"/>
      </w:pPr>
      <w:r>
        <w:t xml:space="preserve">目标：把 ADOS Engine 的指标计算层和评分逻辑跑通，用历史数据做 walk-forward 回测，验证策略有效性</w:t>
      </w:r>
    </w:p>
    <w:p>
      <w:pPr>
        <w:pStyle w:val="ListParagraph"/>
        <w:numPr>
          <w:ilvl w:val="0"/>
          <w:numId w:val="2"/>
        </w:numPr>
        <w:spacing w:after="80"/>
      </w:pPr>
      <w:r>
        <w:t xml:space="preserve">产出：确认哪些具体场景/策略存在真实数据缺口，而不是假设性缺口</w:t>
      </w:r>
    </w:p>
    <w:p>
      <w:pPr>
        <w:pStyle w:val="Heading2"/>
        <w:spacing w:after="150" w:before="300"/>
      </w:pPr>
      <w:r>
        <w:t xml:space="preserve">Phase 2（按需升级）</w:t>
      </w:r>
    </w:p>
    <w:p>
      <w:pPr>
        <w:pStyle w:val="ListParagraph"/>
        <w:numPr>
          <w:ilvl w:val="0"/>
          <w:numId w:val="2"/>
        </w:numPr>
        <w:spacing w:after="80"/>
      </w:pPr>
      <w:r>
        <w:t xml:space="preserve">仅针对 Phase 1 验证后暴露出的具体缺口，参照第 9 章触发条件表逐项评估</w:t>
      </w:r>
    </w:p>
    <w:p>
      <w:pPr>
        <w:pStyle w:val="ListParagraph"/>
        <w:numPr>
          <w:ilvl w:val="0"/>
          <w:numId w:val="2"/>
        </w:numPr>
        <w:spacing w:after="80"/>
      </w:pPr>
      <w:r>
        <w:t xml:space="preserve">优先级：日内短线新闻速度 &gt; 其他</w:t>
      </w:r>
    </w:p>
    <w:p>
      <w:pPr>
        <w:pStyle w:val="Heading1"/>
        <w:spacing w:after="200" w:before="400"/>
      </w:pPr>
      <w:r>
        <w:t xml:space="preserve">12. 开发计划</w:t>
      </w:r>
    </w:p>
    <w:p>
      <w:pPr>
        <w:spacing w:after="150"/>
      </w:pPr>
      <w:r>
        <w:t xml:space="preserve">本项目为个人维护型项目，采用里程碑制（M0–M6）而非固定日历排期——每个里程碑有明确的前置依赖和产出标准，完成即推进下一阶段，避免按日期赶工导致跳过验证步骤。</w:t>
      </w:r>
    </w:p>
    <w:p>
      <w:pPr>
        <w:pStyle w:val="Heading2"/>
        <w:spacing w:after="150" w:before="300"/>
      </w:pPr>
      <w:r>
        <w:t xml:space="preserve">M0：基础设施与可行性验证</w:t>
      </w:r>
    </w:p>
    <w:p>
      <w:pPr>
        <w:spacing w:after="150"/>
      </w:pPr>
      <w:r>
        <w:t xml:space="preserve">目标：在写任何业务代码之前，先把"很可能推倒重来"的风险点验证掉，避免后期返工。</w:t>
      </w:r>
    </w:p>
    <w:p>
      <w:pPr>
        <w:pStyle w:val="ListParagraph"/>
        <w:numPr>
          <w:ilvl w:val="0"/>
          <w:numId w:val="2"/>
        </w:numPr>
        <w:spacing w:after="80"/>
      </w:pPr>
      <w:r>
        <w:t xml:space="preserve">确认 IBKR 账户市场数据订阅等级（实时 vs 延迟）——已通过 MCP 连接器实测确认，详见第 13 章</w:t>
      </w:r>
    </w:p>
    <w:p>
      <w:pPr>
        <w:pStyle w:val="ListParagraph"/>
        <w:numPr>
          <w:ilvl w:val="0"/>
          <w:numId w:val="2"/>
        </w:numPr>
        <w:spacing w:after="80"/>
      </w:pPr>
      <w:r>
        <w:t xml:space="preserve">实测分钟/秒级历史数据实际可回溯天数——已通过 MCP 连接器实测，结果需要在直连 Client Portal Gateway 后复测确认</w:t>
      </w:r>
    </w:p>
    <w:p>
      <w:pPr>
        <w:pStyle w:val="ListParagraph"/>
        <w:numPr>
          <w:ilvl w:val="0"/>
          <w:numId w:val="2"/>
        </w:numPr>
        <w:spacing w:after="80"/>
      </w:pPr>
      <w:r>
        <w:t xml:space="preserve">确认 Greeks 原始字段的可获得边界——已查证 IBKR Client Portal Web API 官方文档，详见第 13 章</w:t>
      </w:r>
    </w:p>
    <w:p>
      <w:pPr>
        <w:pStyle w:val="ListParagraph"/>
        <w:numPr>
          <w:ilvl w:val="0"/>
          <w:numId w:val="2"/>
        </w:numPr>
        <w:spacing w:after="80"/>
      </w:pPr>
      <w:r>
        <w:t xml:space="preserve">部署 PostgreSQL + TimescaleDB + Redis 基础环境</w:t>
      </w:r>
    </w:p>
    <w:p>
      <w:pPr>
        <w:pStyle w:val="ListParagraph"/>
        <w:numPr>
          <w:ilvl w:val="0"/>
          <w:numId w:val="2"/>
        </w:numPr>
        <w:spacing w:after="80"/>
      </w:pPr>
      <w:r>
        <w:t xml:space="preserve">打通 IBKR 数据链路的最小可行示例（单一标的的报价 + 期权链稳定拉取）</w:t>
      </w:r>
    </w:p>
    <w:p>
      <w:pPr>
        <w:pStyle w:val="ListParagraph"/>
        <w:numPr>
          <w:ilvl w:val="0"/>
          <w:numId w:val="2"/>
        </w:numPr>
        <w:spacing w:after="80"/>
      </w:pPr>
      <w:r>
        <w:t xml:space="preserve">搭建认证自动化方案（IBeam + Auto-Restart + 保活 + 掉线告警），将人工 2FA 干预频率降到最低</w:t>
      </w:r>
    </w:p>
    <w:p>
      <w:pPr>
        <w:spacing w:after="150"/>
      </w:pPr>
      <w:r>
        <w:t xml:space="preserve">产出：一份「数据能力边界确认清单」，作为后续所有开发的前提假设基线，避免中途发现假设错误再推倒重来。</w:t>
      </w:r>
    </w:p>
    <w:p>
      <w:pPr>
        <w:pStyle w:val="Heading3"/>
        <w:spacing w:after="100" w:before="200"/>
      </w:pPr>
      <w:r>
        <w:t xml:space="preserve">M0 补充：认证自动化方案</w:t>
      </w:r>
    </w:p>
    <w:p>
      <w:pPr>
        <w:spacing w:after="150"/>
      </w:pPr>
      <w:r>
        <w:t xml:space="preserve">IBKR 个人零售账户无法通过 OAuth 完全跳过 2FA（该方式仅对机构用户开放），现实目标是把人工干预频率降到最低、并自动化掉能自动化的部分：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2F3B52" w:val="clear"/>
            <w:vAlign w:val="center"/>
          </w:tcPr>
          <w:p>
            <w:r>
              <w:rPr>
                <w:b/>
                <w:bCs/>
                <w:color w:val="FFFFFF"/>
                <w:sz w:val="20"/>
                <w:szCs w:val="20"/>
              </w:rPr>
              <w:t xml:space="preserve">步骤</w:t>
            </w:r>
          </w:p>
        </w:tc>
        <w:tc>
          <w:tcPr>
            <w:tcW w:type="dxa" w:w="6826"/>
            <w:shd w:fill="2F3B52" w:val="clear"/>
            <w:vAlign w:val="center"/>
          </w:tcPr>
          <w:p>
            <w:r>
              <w:rPr>
                <w:b/>
                <w:bCs/>
                <w:color w:val="FFFFFF"/>
                <w:sz w:val="20"/>
                <w:szCs w:val="20"/>
              </w:rPr>
              <w:t xml:space="preserve">内容</w:t>
            </w:r>
          </w:p>
        </w:tc>
      </w:tr>
      <w:tr>
        <w:tc>
          <w:tcPr>
            <w:tcW w:type="dxa" w:w="2200"/>
            <w:vAlign w:val="center"/>
          </w:tcPr>
          <w:p>
            <w:r>
              <w:rPr>
                <w:b w:val="false"/>
                <w:bCs w:val="false"/>
                <w:sz w:val="20"/>
                <w:szCs w:val="20"/>
              </w:rPr>
              <w:t xml:space="preserve">1. 部署方式</w:t>
            </w:r>
          </w:p>
        </w:tc>
        <w:tc>
          <w:tcPr>
            <w:tcW w:type="dxa" w:w="6826"/>
            <w:vAlign w:val="center"/>
          </w:tcPr>
          <w:p>
            <w:r>
              <w:rPr>
                <w:b w:val="false"/>
                <w:bCs w:val="false"/>
                <w:sz w:val="20"/>
                <w:szCs w:val="20"/>
              </w:rPr>
              <w:t xml:space="preserve">使用开源工具 IBeam（voyz/ibeam 镜像）自动化 Client Portal Gateway 登录流程：docker pull voyz/ibeam</w:t>
            </w:r>
          </w:p>
        </w:tc>
      </w:tr>
      <w:tr>
        <w:tc>
          <w:tcPr>
            <w:tcW w:type="dxa" w:w="2200"/>
            <w:vAlign w:val="center"/>
          </w:tcPr>
          <w:p>
            <w:r>
              <w:rPr>
                <w:b w:val="false"/>
                <w:bCs w:val="false"/>
                <w:sz w:val="20"/>
                <w:szCs w:val="20"/>
              </w:rPr>
              <w:t xml:space="preserve">2. 账号密码配置</w:t>
            </w:r>
          </w:p>
        </w:tc>
        <w:tc>
          <w:tcPr>
            <w:tcW w:type="dxa" w:w="6826"/>
            <w:vAlign w:val="center"/>
          </w:tcPr>
          <w:p>
            <w:r>
              <w:rPr>
                <w:b w:val="false"/>
                <w:bCs w:val="false"/>
                <w:sz w:val="20"/>
                <w:szCs w:val="20"/>
              </w:rPr>
              <w:t xml:space="preserve">通过 env.list 或 Docker Secrets 提供 IBEAM_ACCOUNT / IBEAM_PASSWORD，生产环境不入库</w:t>
            </w:r>
          </w:p>
        </w:tc>
      </w:tr>
      <w:tr>
        <w:tc>
          <w:tcPr>
            <w:tcW w:type="dxa" w:w="2200"/>
            <w:vAlign w:val="center"/>
          </w:tcPr>
          <w:p>
            <w:r>
              <w:rPr>
                <w:b w:val="false"/>
                <w:bCs w:val="false"/>
                <w:sz w:val="20"/>
                <w:szCs w:val="20"/>
              </w:rPr>
              <w:t xml:space="preserve">3. Gateway 配置</w:t>
            </w:r>
          </w:p>
        </w:tc>
        <w:tc>
          <w:tcPr>
            <w:tcW w:type="dxa" w:w="6826"/>
            <w:vAlign w:val="center"/>
          </w:tcPr>
          <w:p>
            <w:r>
              <w:rPr>
                <w:b w:val="false"/>
                <w:bCs w:val="false"/>
                <w:sz w:val="20"/>
                <w:szCs w:val="20"/>
              </w:rPr>
              <w:t xml:space="preserve">按需调整 conf.yaml；改端口通过 docker-compose 端口映射，不直接改 listenPort</w:t>
            </w:r>
          </w:p>
        </w:tc>
      </w:tr>
      <w:tr>
        <w:tc>
          <w:tcPr>
            <w:tcW w:type="dxa" w:w="2200"/>
            <w:vAlign w:val="center"/>
          </w:tcPr>
          <w:p>
            <w:r>
              <w:rPr>
                <w:b w:val="false"/>
                <w:bCs w:val="false"/>
                <w:sz w:val="20"/>
                <w:szCs w:val="20"/>
              </w:rPr>
              <w:t xml:space="preserve">4. 启动与首次认证</w:t>
            </w:r>
          </w:p>
        </w:tc>
        <w:tc>
          <w:tcPr>
            <w:tcW w:type="dxa" w:w="6826"/>
            <w:vAlign w:val="center"/>
          </w:tcPr>
          <w:p>
            <w:r>
              <w:rPr>
                <w:b w:val="false"/>
                <w:bCs w:val="false"/>
                <w:sz w:val="20"/>
                <w:szCs w:val="20"/>
              </w:rPr>
              <w:t xml:space="preserve">docker run --env-file env.list -p 5000:5000 voyz/ibeam，手机 IB Key 推送需手动确认一次（个人账户无法绕过）</w:t>
            </w:r>
          </w:p>
        </w:tc>
      </w:tr>
      <w:tr>
        <w:tc>
          <w:tcPr>
            <w:tcW w:type="dxa" w:w="2200"/>
            <w:vAlign w:val="center"/>
          </w:tcPr>
          <w:p>
            <w:r>
              <w:rPr>
                <w:b w:val="false"/>
                <w:bCs w:val="false"/>
                <w:sz w:val="20"/>
                <w:szCs w:val="20"/>
              </w:rPr>
              <w:t xml:space="preserve">5. 验证</w:t>
            </w:r>
          </w:p>
        </w:tc>
        <w:tc>
          <w:tcPr>
            <w:tcW w:type="dxa" w:w="6826"/>
            <w:vAlign w:val="center"/>
          </w:tcPr>
          <w:p>
            <w:r>
              <w:rPr>
                <w:b w:val="false"/>
                <w:bCs w:val="false"/>
                <w:sz w:val="20"/>
                <w:szCs w:val="20"/>
              </w:rPr>
              <w:t xml:space="preserve">curl https://localhost:5000/v1/api/portfolio/accounts -k 确认返回账户信息</w:t>
            </w:r>
          </w:p>
        </w:tc>
      </w:tr>
      <w:tr>
        <w:tc>
          <w:tcPr>
            <w:tcW w:type="dxa" w:w="2200"/>
            <w:vAlign w:val="center"/>
          </w:tcPr>
          <w:p>
            <w:r>
              <w:rPr>
                <w:b w:val="false"/>
                <w:bCs w:val="false"/>
                <w:sz w:val="20"/>
                <w:szCs w:val="20"/>
              </w:rPr>
              <w:t xml:space="preserve">6. 登出策略</w:t>
            </w:r>
          </w:p>
        </w:tc>
        <w:tc>
          <w:tcPr>
            <w:tcW w:type="dxa" w:w="6826"/>
            <w:vAlign w:val="center"/>
          </w:tcPr>
          <w:p>
            <w:r>
              <w:rPr>
                <w:b w:val="false"/>
                <w:bCs w:val="false"/>
                <w:sz w:val="20"/>
                <w:szCs w:val="20"/>
              </w:rPr>
              <w:t xml:space="preserve">将 Gateway 设置由 Auto-Logoff 改为 Auto-Restart，2FA 频率从每天降至每周一次</w:t>
            </w:r>
          </w:p>
        </w:tc>
      </w:tr>
      <w:tr>
        <w:tc>
          <w:tcPr>
            <w:tcW w:type="dxa" w:w="2200"/>
            <w:vAlign w:val="center"/>
          </w:tcPr>
          <w:p>
            <w:r>
              <w:rPr>
                <w:b w:val="false"/>
                <w:bCs w:val="false"/>
                <w:sz w:val="20"/>
                <w:szCs w:val="20"/>
              </w:rPr>
              <w:t xml:space="preserve">7. 保活脚本</w:t>
            </w:r>
          </w:p>
        </w:tc>
        <w:tc>
          <w:tcPr>
            <w:tcW w:type="dxa" w:w="6826"/>
            <w:vAlign w:val="center"/>
          </w:tcPr>
          <w:p>
            <w:r>
              <w:rPr>
                <w:b w:val="false"/>
                <w:bCs w:val="false"/>
                <w:sz w:val="20"/>
                <w:szCs w:val="20"/>
              </w:rPr>
              <w:t xml:space="preserve">定时（间隔小于 60 秒）调用 /v1/api/tickle，并轮询 /iserver/auth/status 的 authenticated 字段</w:t>
            </w:r>
          </w:p>
        </w:tc>
      </w:tr>
      <w:tr>
        <w:tc>
          <w:tcPr>
            <w:tcW w:type="dxa" w:w="2200"/>
            <w:vAlign w:val="center"/>
          </w:tcPr>
          <w:p>
            <w:r>
              <w:rPr>
                <w:b w:val="false"/>
                <w:bCs w:val="false"/>
                <w:sz w:val="20"/>
                <w:szCs w:val="20"/>
              </w:rPr>
              <w:t xml:space="preserve">8. 掉线告警</w:t>
            </w:r>
          </w:p>
        </w:tc>
        <w:tc>
          <w:tcPr>
            <w:tcW w:type="dxa" w:w="6826"/>
            <w:vAlign w:val="center"/>
          </w:tcPr>
          <w:p>
            <w:r>
              <w:rPr>
                <w:b w:val="false"/>
                <w:bCs w:val="false"/>
                <w:sz w:val="20"/>
                <w:szCs w:val="20"/>
              </w:rPr>
              <w:t xml:space="preserve">authenticated 变为 false 时通过 Telegram/邮件通知，及时手动重新确认，避免策略静默停摆</w:t>
            </w:r>
          </w:p>
        </w:tc>
      </w:tr>
    </w:tbl>
    <w:p>
      <w:pPr>
        <w:shd w:fill="FFF6DC" w:val="clear"/>
        <w:spacing w:after="150"/>
      </w:pPr>
      <w:r>
        <w:rPr>
          <w:i/>
          <w:iCs/>
          <w:color w:val="806000"/>
        </w:rPr>
        <w:t xml:space="preserve">注意：IBeam 仅自动化 Client Portal Web API Gateway 的登录，若之后需要用 TWS 桌面版或原生 Socket API，需改用另一工具 IBC，两者不通用。</w:t>
      </w:r>
    </w:p>
    <w:p>
      <w:pPr>
        <w:pStyle w:val="Heading2"/>
        <w:spacing w:after="150" w:before="300"/>
      </w:pPr>
      <w:r>
        <w:t xml:space="preserve">M1：数据管道与存储层</w:t>
      </w:r>
    </w:p>
    <w:p>
      <w:pPr>
        <w:spacing w:after="150"/>
      </w:pPr>
      <w:r>
        <w:t xml:space="preserve">目标：把 IBKR 与 Finnhub 免费层的数据稳定采集并写入 TimescaleDB。</w:t>
      </w:r>
    </w:p>
    <w:p>
      <w:pPr>
        <w:pStyle w:val="ListParagraph"/>
        <w:numPr>
          <w:ilvl w:val="0"/>
          <w:numId w:val="2"/>
        </w:numPr>
        <w:spacing w:after="80"/>
      </w:pPr>
      <w:r>
        <w:t xml:space="preserve">正股 OHLCV 定时采集入库（按场景所需最小频率，日内场景优先做到分钟级）</w:t>
      </w:r>
    </w:p>
    <w:p>
      <w:pPr>
        <w:pStyle w:val="ListParagraph"/>
        <w:numPr>
          <w:ilvl w:val="0"/>
          <w:numId w:val="2"/>
        </w:numPr>
        <w:spacing w:after="80"/>
      </w:pPr>
      <w:r>
        <w:t xml:space="preserve">期权链 + IV + OI 定时采集入库</w:t>
      </w:r>
    </w:p>
    <w:p>
      <w:pPr>
        <w:pStyle w:val="ListParagraph"/>
        <w:numPr>
          <w:ilvl w:val="0"/>
          <w:numId w:val="2"/>
        </w:numPr>
        <w:spacing w:after="80"/>
      </w:pPr>
      <w:r>
        <w:t xml:space="preserve">Finnhub 财报日历、历史意外幅度、分析师数据、社交情绪同步入库</w:t>
      </w:r>
    </w:p>
    <w:p>
      <w:pPr>
        <w:pStyle w:val="ListParagraph"/>
        <w:numPr>
          <w:ilvl w:val="0"/>
          <w:numId w:val="2"/>
        </w:numPr>
        <w:spacing w:after="80"/>
      </w:pPr>
      <w:r>
        <w:t xml:space="preserve">官方免费日历建表（OpEx、除息、指数再平衡、宏观事件）并规划更新机制</w:t>
      </w:r>
    </w:p>
    <w:p>
      <w:pPr>
        <w:spacing w:after="150"/>
      </w:pPr>
      <w:r>
        <w:t xml:space="preserve">产出：一个可持续运行的数据采集服务，历史数据可查询、可回溯，为 M2 指标计算提供稳定输入。</w:t>
      </w:r>
    </w:p>
    <w:p>
      <w:pPr>
        <w:pStyle w:val="Heading2"/>
        <w:spacing w:after="150" w:before="300"/>
      </w:pPr>
      <w:r>
        <w:t xml:space="preserve">M2：ADOS Engine 指标计算层</w:t>
      </w:r>
    </w:p>
    <w:p>
      <w:pPr>
        <w:spacing w:after="150"/>
      </w:pPr>
      <w:r>
        <w:t xml:space="preserve">目标：实现第 4 章列出的全部自算指标。建议按依赖复杂度从低到高推进：</w:t>
      </w:r>
    </w:p>
    <w:p>
      <w:pPr>
        <w:pStyle w:val="ListParagraph"/>
        <w:numPr>
          <w:ilvl w:val="0"/>
          <w:numId w:val="2"/>
        </w:numPr>
        <w:spacing w:after="80"/>
      </w:pPr>
      <w:r>
        <w:t xml:space="preserve">第一批（通用基础）：VWAP、Volume Profile、POC、Max Pain、Put/Call Ratio</w:t>
      </w:r>
    </w:p>
    <w:p>
      <w:pPr>
        <w:pStyle w:val="ListParagraph"/>
        <w:numPr>
          <w:ilvl w:val="0"/>
          <w:numId w:val="2"/>
        </w:numPr>
        <w:spacing w:after="80"/>
      </w:pPr>
      <w:r>
        <w:t xml:space="preserve">第二批（日内/波段场景）：ATR、相对强度 RS</w:t>
      </w:r>
    </w:p>
    <w:p>
      <w:pPr>
        <w:pStyle w:val="ListParagraph"/>
        <w:numPr>
          <w:ilvl w:val="0"/>
          <w:numId w:val="2"/>
        </w:numPr>
        <w:spacing w:after="80"/>
      </w:pPr>
      <w:r>
        <w:t xml:space="preserve">第三批（期权场景）：Greeks 反推（Black-Scholes）、IV Skew、IV Term Structure</w:t>
      </w:r>
    </w:p>
    <w:p>
      <w:pPr>
        <w:pStyle w:val="ListParagraph"/>
        <w:numPr>
          <w:ilvl w:val="0"/>
          <w:numId w:val="2"/>
        </w:numPr>
        <w:spacing w:after="80"/>
      </w:pPr>
      <w:r>
        <w:t xml:space="preserve">第四批（杠杆 ETF 场景）：波动损耗率回归、VIX 期限结构</w:t>
      </w:r>
    </w:p>
    <w:p>
      <w:pPr>
        <w:pStyle w:val="ListParagraph"/>
        <w:numPr>
          <w:ilvl w:val="0"/>
          <w:numId w:val="2"/>
        </w:numPr>
        <w:spacing w:after="80"/>
      </w:pPr>
      <w:r>
        <w:t xml:space="preserve">第五批（估算类，依赖前四批稳定后再做）：GEX / Dealer Gamma Estimate / Gamma Wall</w:t>
      </w:r>
    </w:p>
    <w:p>
      <w:pPr>
        <w:spacing w:after="150"/>
      </w:pPr>
      <w:r>
        <w:t xml:space="preserve">产出：每个指标一个可独立测试的计算函数，配合历史数据抽样核对计算结果的合理性。</w:t>
      </w:r>
    </w:p>
    <w:p>
      <w:pPr>
        <w:pStyle w:val="Heading2"/>
        <w:spacing w:after="150" w:before="300"/>
      </w:pPr>
      <w:r>
        <w:t xml:space="preserve">M3：评分逻辑与回测框架</w:t>
      </w:r>
    </w:p>
    <w:p>
      <w:pPr>
        <w:spacing w:after="150"/>
      </w:pPr>
      <w:r>
        <w:t xml:space="preserve">目标：让 Bull/Bear/Risk/Confidence Score 可验证，避免成为没有验证过的黑盒。</w:t>
      </w:r>
    </w:p>
    <w:p>
      <w:pPr>
        <w:pStyle w:val="ListParagraph"/>
        <w:numPr>
          <w:ilvl w:val="0"/>
          <w:numId w:val="2"/>
        </w:numPr>
        <w:spacing w:after="80"/>
      </w:pPr>
      <w:r>
        <w:t xml:space="preserve">定义评分权重初始版本（可先用主观权重跑通流程）</w:t>
      </w:r>
    </w:p>
    <w:p>
      <w:pPr>
        <w:pStyle w:val="ListParagraph"/>
        <w:numPr>
          <w:ilvl w:val="0"/>
          <w:numId w:val="2"/>
        </w:numPr>
        <w:spacing w:after="80"/>
      </w:pPr>
      <w:r>
        <w:t xml:space="preserve">搭建 walk-forward 回测框架，模拟历史时点按当时评分操作的结果</w:t>
      </w:r>
    </w:p>
    <w:p>
      <w:pPr>
        <w:pStyle w:val="ListParagraph"/>
        <w:numPr>
          <w:ilvl w:val="0"/>
          <w:numId w:val="2"/>
        </w:numPr>
        <w:spacing w:after="80"/>
      </w:pPr>
      <w:r>
        <w:t xml:space="preserve">跑历史数据，记录命中率、平均盈亏比等具体指标</w:t>
      </w:r>
    </w:p>
    <w:p>
      <w:pPr>
        <w:pStyle w:val="ListParagraph"/>
        <w:numPr>
          <w:ilvl w:val="0"/>
          <w:numId w:val="2"/>
        </w:numPr>
        <w:spacing w:after="80"/>
      </w:pPr>
      <w:r>
        <w:t xml:space="preserve">根据回测结果迭代评分权重</w:t>
      </w:r>
    </w:p>
    <w:p>
      <w:pPr>
        <w:spacing w:after="150"/>
      </w:pPr>
      <w:r>
        <w:t xml:space="preserve">产出：一份包含具体数字（命中率、盈亏比）的回测报告，作为评分逻辑是否上线的判断依据。</w:t>
      </w:r>
    </w:p>
    <w:p>
      <w:pPr>
        <w:pStyle w:val="Heading2"/>
        <w:spacing w:after="150" w:before="300"/>
      </w:pPr>
      <w:r>
        <w:t xml:space="preserve">M4：前端仪表盘对接</w:t>
      </w:r>
    </w:p>
    <w:p>
      <w:pPr>
        <w:spacing w:after="150"/>
      </w:pPr>
      <w:r>
        <w:t xml:space="preserve">目标：将 ADOS Engine 输出接入现有 Next.js / React 前端，正式替换早期 mock 数据。</w:t>
      </w:r>
    </w:p>
    <w:p>
      <w:pPr>
        <w:pStyle w:val="ListParagraph"/>
        <w:numPr>
          <w:ilvl w:val="0"/>
          <w:numId w:val="2"/>
        </w:numPr>
        <w:spacing w:after="80"/>
      </w:pPr>
      <w:r>
        <w:t xml:space="preserve">设计 Engine 计算结果与前端消费之间的 API 层</w:t>
      </w:r>
    </w:p>
    <w:p>
      <w:pPr>
        <w:pStyle w:val="ListParagraph"/>
        <w:numPr>
          <w:ilvl w:val="0"/>
          <w:numId w:val="2"/>
        </w:numPr>
        <w:spacing w:after="80"/>
      </w:pPr>
      <w:r>
        <w:t xml:space="preserve">按四个场景分别设计仪表盘视图（日内 / 波段 / 期权 / 杠杆 ETF）</w:t>
      </w:r>
    </w:p>
    <w:p>
      <w:pPr>
        <w:pStyle w:val="ListParagraph"/>
        <w:numPr>
          <w:ilvl w:val="0"/>
          <w:numId w:val="2"/>
        </w:numPr>
        <w:spacing w:after="80"/>
      </w:pPr>
      <w:r>
        <w:t xml:space="preserve">接入 Redis 缓存策略，避免前端每次刷新重复触发指标计算</w:t>
      </w:r>
    </w:p>
    <w:p>
      <w:pPr>
        <w:pStyle w:val="Heading2"/>
        <w:spacing w:after="150" w:before="300"/>
      </w:pPr>
      <w:r>
        <w:t xml:space="preserve">M5：事件日历与预警集成</w:t>
      </w:r>
    </w:p>
    <w:p>
      <w:pPr>
        <w:spacing w:after="150"/>
      </w:pPr>
      <w:r>
        <w:t xml:space="preserve">目标：把 3.3 节的日历体系（OpEx、除息、财报、宏观、指数再平衡）做成主动提醒，而非被动查询。</w:t>
      </w:r>
    </w:p>
    <w:p>
      <w:pPr>
        <w:pStyle w:val="ListParagraph"/>
        <w:numPr>
          <w:ilvl w:val="0"/>
          <w:numId w:val="2"/>
        </w:numPr>
        <w:spacing w:after="80"/>
      </w:pPr>
      <w:r>
        <w:t xml:space="preserve">统一日历数据表结构</w:t>
      </w:r>
    </w:p>
    <w:p>
      <w:pPr>
        <w:pStyle w:val="ListParagraph"/>
        <w:numPr>
          <w:ilvl w:val="0"/>
          <w:numId w:val="2"/>
        </w:numPr>
        <w:spacing w:after="80"/>
      </w:pPr>
      <w:r>
        <w:t xml:space="preserve">前端"今日 / 本周事件"模块</w:t>
      </w:r>
    </w:p>
    <w:p>
      <w:pPr>
        <w:pStyle w:val="ListParagraph"/>
        <w:numPr>
          <w:ilvl w:val="0"/>
          <w:numId w:val="2"/>
        </w:numPr>
        <w:spacing w:after="80"/>
      </w:pPr>
      <w:r>
        <w:t xml:space="preserve">持仓标的的关键事件（除息日、财报日等）触发提醒逻辑</w:t>
      </w:r>
    </w:p>
    <w:p>
      <w:pPr>
        <w:pStyle w:val="Heading2"/>
        <w:spacing w:after="150" w:before="300"/>
      </w:pPr>
      <w:r>
        <w:t xml:space="preserve">M6：观察期与 Phase 2 决策</w:t>
      </w:r>
    </w:p>
    <w:p>
      <w:pPr>
        <w:spacing w:after="150"/>
      </w:pPr>
      <w:r>
        <w:t xml:space="preserve">目标：实盘/模拟观察一段时间，收集真实使用中暴露的数据缺口，而非假设性缺口。</w:t>
      </w:r>
    </w:p>
    <w:p>
      <w:pPr>
        <w:pStyle w:val="ListParagraph"/>
        <w:numPr>
          <w:ilvl w:val="0"/>
          <w:numId w:val="2"/>
        </w:numPr>
        <w:spacing w:after="80"/>
      </w:pPr>
      <w:r>
        <w:t xml:space="preserve">按四个场景实际使用，记录遇到的具体数据不足情况</w:t>
      </w:r>
    </w:p>
    <w:p>
      <w:pPr>
        <w:pStyle w:val="ListParagraph"/>
        <w:numPr>
          <w:ilvl w:val="0"/>
          <w:numId w:val="2"/>
        </w:numPr>
        <w:spacing w:after="80"/>
      </w:pPr>
      <w:r>
        <w:t xml:space="preserve">对照第 9 章触发条件表，评估是否需要采购 Phase 2 数据/服务</w:t>
      </w:r>
    </w:p>
    <w:p>
      <w:pPr>
        <w:spacing w:after="150"/>
      </w:pPr>
      <w:r>
        <w:t xml:space="preserve">产出：一份有实际使用证据支撑的 Phase 2 采购决策清单。</w:t>
      </w:r>
    </w:p>
    <w:p>
      <w:pPr>
        <w:pStyle w:val="Heading1"/>
        <w:spacing w:after="200" w:before="400"/>
      </w:pPr>
      <w:r>
        <w:t xml:space="preserve">13. 待验证 / 风险清单</w:t>
      </w:r>
    </w:p>
    <w:p>
      <w:pPr>
        <w:spacing w:after="150"/>
      </w:pPr>
      <w:r>
        <w:t xml:space="preserve">本章记录截至目前的实测与查证结果。重要说明：以下实测通过 IBKR MCP 连接器完成，该连接器与 ADOS-Trade 直连的 Client Portal Gateway 共享底层 Client Portal Web API（CPAPI），但只暴露了其中一部分字段——凡实测结果为「可行/正常」的结论可直接沿用（底层数据源相同）；凡实测结果为「不可行/缺失」的结论仅代表 MCP 连接器的封装限制，不代表 CPAPI 本身不支持，需在直连后复测确认。</w:t>
      </w:r>
    </w:p>
    <w:p>
      <w:pPr>
        <w:pStyle w:val="Heading2"/>
        <w:spacing w:after="150" w:before="300"/>
      </w:pPr>
      <w:r>
        <w:t xml:space="preserve">13.1 已实测确认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shd w:fill="2F3B52" w:val="clear"/>
            <w:vAlign w:val="center"/>
          </w:tcPr>
          <w:p>
            <w:r>
              <w:rPr>
                <w:b/>
                <w:bCs/>
                <w:color w:val="FFFFFF"/>
                <w:sz w:val="20"/>
                <w:szCs w:val="20"/>
              </w:rPr>
              <w:t xml:space="preserve">事项</w:t>
            </w:r>
          </w:p>
        </w:tc>
        <w:tc>
          <w:tcPr>
            <w:tcW w:type="dxa" w:w="2400"/>
            <w:shd w:fill="2F3B52" w:val="clear"/>
            <w:vAlign w:val="center"/>
          </w:tcPr>
          <w:p>
            <w:r>
              <w:rPr>
                <w:b/>
                <w:bCs/>
                <w:color w:val="FFFFFF"/>
                <w:sz w:val="20"/>
                <w:szCs w:val="20"/>
              </w:rPr>
              <w:t xml:space="preserve">结果</w:t>
            </w:r>
          </w:p>
        </w:tc>
        <w:tc>
          <w:tcPr>
            <w:tcW w:type="dxa" w:w="4626"/>
            <w:shd w:fill="2F3B52" w:val="clear"/>
            <w:vAlign w:val="center"/>
          </w:tcPr>
          <w:p>
            <w:r>
              <w:rPr>
                <w:b/>
                <w:bCs/>
                <w:color w:val="FFFFFF"/>
                <w:sz w:val="20"/>
                <w:szCs w:val="20"/>
              </w:rPr>
              <w:t xml:space="preserve">说明</w:t>
            </w:r>
          </w:p>
        </w:tc>
      </w:tr>
      <w:tr>
        <w:tc>
          <w:tcPr>
            <w:tcW w:type="dxa" w:w="2000"/>
            <w:vAlign w:val="center"/>
          </w:tcPr>
          <w:p>
            <w:r>
              <w:rPr>
                <w:b w:val="false"/>
                <w:bCs w:val="false"/>
                <w:sz w:val="20"/>
                <w:szCs w:val="20"/>
              </w:rPr>
              <w:t xml:space="preserve">市场数据实时性</w:t>
            </w:r>
          </w:p>
        </w:tc>
        <w:tc>
          <w:tcPr>
            <w:tcW w:type="dxa" w:w="2400"/>
            <w:vAlign w:val="center"/>
          </w:tcPr>
          <w:p>
            <w:r>
              <w:rPr>
                <w:b w:val="false"/>
                <w:bCs w:val="false"/>
                <w:sz w:val="20"/>
                <w:szCs w:val="20"/>
              </w:rPr>
              <w:t xml:space="preserve">✅ 实时/近实时</w:t>
            </w:r>
          </w:p>
        </w:tc>
        <w:tc>
          <w:tcPr>
            <w:tcW w:type="dxa" w:w="4626"/>
            <w:vAlign w:val="center"/>
          </w:tcPr>
          <w:p>
            <w:r>
              <w:rPr>
                <w:b w:val="false"/>
                <w:bCs w:val="false"/>
                <w:sz w:val="20"/>
                <w:szCs w:val="20"/>
              </w:rPr>
              <w:t xml:space="preserve">实测报价时间戳与查询时间相差不到 1 分钟，非 15–20 分钟经典延迟数据</w:t>
            </w:r>
          </w:p>
        </w:tc>
      </w:tr>
      <w:tr>
        <w:tc>
          <w:tcPr>
            <w:tcW w:type="dxa" w:w="2000"/>
            <w:vAlign w:val="center"/>
          </w:tcPr>
          <w:p>
            <w:r>
              <w:rPr>
                <w:b w:val="false"/>
                <w:bCs w:val="false"/>
                <w:sz w:val="20"/>
                <w:szCs w:val="20"/>
              </w:rPr>
              <w:t xml:space="preserve">分钟线历史可回溯天数</w:t>
            </w:r>
          </w:p>
        </w:tc>
        <w:tc>
          <w:tcPr>
            <w:tcW w:type="dxa" w:w="2400"/>
            <w:vAlign w:val="center"/>
          </w:tcPr>
          <w:p>
            <w:r>
              <w:rPr>
                <w:b w:val="false"/>
                <w:bCs w:val="false"/>
                <w:sz w:val="20"/>
                <w:szCs w:val="20"/>
              </w:rPr>
              <w:t xml:space="preserve">⚠️ 约 3–4 个交易日</w:t>
            </w:r>
          </w:p>
        </w:tc>
        <w:tc>
          <w:tcPr>
            <w:tcW w:type="dxa" w:w="4626"/>
            <w:vAlign w:val="center"/>
          </w:tcPr>
          <w:p>
            <w:r>
              <w:rPr>
                <w:b w:val="false"/>
                <w:bCs w:val="false"/>
                <w:sz w:val="20"/>
                <w:szCs w:val="20"/>
              </w:rPr>
              <w:t xml:space="preserve">单次最大 1000 根 1 分钟 K 线仅覆盖约 4 个交易日，远短于最初假设；此结果来自 MCP 连接器，直连 CPAPI 后需复测是否有更高权限的历史深度</w:t>
            </w:r>
          </w:p>
        </w:tc>
      </w:tr>
      <w:tr>
        <w:tc>
          <w:tcPr>
            <w:tcW w:type="dxa" w:w="2000"/>
            <w:vAlign w:val="center"/>
          </w:tcPr>
          <w:p>
            <w:r>
              <w:rPr>
                <w:b w:val="false"/>
                <w:bCs w:val="false"/>
                <w:sz w:val="20"/>
                <w:szCs w:val="20"/>
              </w:rPr>
              <w:t xml:space="preserve">Greeks 原始字段</w:t>
            </w:r>
          </w:p>
        </w:tc>
        <w:tc>
          <w:tcPr>
            <w:tcW w:type="dxa" w:w="2400"/>
            <w:vAlign w:val="center"/>
          </w:tcPr>
          <w:p>
            <w:r>
              <w:rPr>
                <w:b w:val="false"/>
                <w:bCs w:val="false"/>
                <w:sz w:val="20"/>
                <w:szCs w:val="20"/>
              </w:rPr>
              <w:t xml:space="preserve">✅ CPAPI 原生支持，MCP 连接器未暴露</w:t>
            </w:r>
          </w:p>
        </w:tc>
        <w:tc>
          <w:tcPr>
            <w:tcW w:type="dxa" w:w="4626"/>
            <w:vAlign w:val="center"/>
          </w:tcPr>
          <w:p>
            <w:r>
              <w:rPr>
                <w:b w:val="false"/>
                <w:bCs w:val="false"/>
                <w:sz w:val="20"/>
                <w:szCs w:val="20"/>
              </w:rPr>
              <w:t xml:space="preserve">已查证 IBKR 官方 Client Portal Web API 文档（/iserver/marketdata/snapshot），Delta(7308)/Gamma(7309)/Theta(7310)/Vega(7311) 为原生字段；ADOS-Trade 直连 CPAPI 可直接取用，无需用 IV 反推 Black-Scholes</w:t>
            </w:r>
          </w:p>
        </w:tc>
      </w:tr>
      <w:tr>
        <w:tc>
          <w:tcPr>
            <w:tcW w:type="dxa" w:w="2000"/>
            <w:vAlign w:val="center"/>
          </w:tcPr>
          <w:p>
            <w:r>
              <w:rPr>
                <w:b w:val="false"/>
                <w:bCs w:val="false"/>
                <w:sz w:val="20"/>
                <w:szCs w:val="20"/>
              </w:rPr>
              <w:t xml:space="preserve">停牌状态标记</w:t>
            </w:r>
          </w:p>
        </w:tc>
        <w:tc>
          <w:tcPr>
            <w:tcW w:type="dxa" w:w="2400"/>
            <w:vAlign w:val="center"/>
          </w:tcPr>
          <w:p>
            <w:r>
              <w:rPr>
                <w:b w:val="false"/>
                <w:bCs w:val="false"/>
                <w:sz w:val="20"/>
                <w:szCs w:val="20"/>
              </w:rPr>
              <w:t xml:space="preserve">✅ 已确认存在</w:t>
            </w:r>
          </w:p>
        </w:tc>
        <w:tc>
          <w:tcPr>
            <w:tcW w:type="dxa" w:w="4626"/>
            <w:vAlign w:val="center"/>
          </w:tcPr>
          <w:p>
            <w:r>
              <w:rPr>
                <w:b w:val="false"/>
                <w:bCs w:val="false"/>
                <w:sz w:val="20"/>
                <w:szCs w:val="20"/>
              </w:rPr>
              <w:t xml:space="preserve">get_price_snapshot 的 last 字段含 halted 布尔值</w:t>
            </w:r>
          </w:p>
        </w:tc>
      </w:tr>
      <w:tr>
        <w:tc>
          <w:tcPr>
            <w:tcW w:type="dxa" w:w="2000"/>
            <w:vAlign w:val="center"/>
          </w:tcPr>
          <w:p>
            <w:r>
              <w:rPr>
                <w:b w:val="false"/>
                <w:bCs w:val="false"/>
                <w:sz w:val="20"/>
                <w:szCs w:val="20"/>
              </w:rPr>
              <w:t xml:space="preserve">OAuth 免 2FA 方案</w:t>
            </w:r>
          </w:p>
        </w:tc>
        <w:tc>
          <w:tcPr>
            <w:tcW w:type="dxa" w:w="2400"/>
            <w:vAlign w:val="center"/>
          </w:tcPr>
          <w:p>
            <w:r>
              <w:rPr>
                <w:b w:val="false"/>
                <w:bCs w:val="false"/>
                <w:sz w:val="20"/>
                <w:szCs w:val="20"/>
              </w:rPr>
              <w:t xml:space="preserve">❌ 个人账户不可用</w:t>
            </w:r>
          </w:p>
        </w:tc>
        <w:tc>
          <w:tcPr>
            <w:tcW w:type="dxa" w:w="4626"/>
            <w:vAlign w:val="center"/>
          </w:tcPr>
          <w:p>
            <w:r>
              <w:rPr>
                <w:b w:val="false"/>
                <w:bCs w:val="false"/>
                <w:sz w:val="20"/>
                <w:szCs w:val="20"/>
              </w:rPr>
              <w:t xml:space="preserve">仅机构用户可用 OAuth 直连跳过 Gateway/2FA；个人账户现实方案见 M0 认证自动化章节（IBeam + Auto-Restart，2FA 频率可降至每周一次）</w:t>
            </w:r>
          </w:p>
        </w:tc>
      </w:tr>
    </w:tbl>
    <w:p>
      <w:pPr>
        <w:pStyle w:val="Heading2"/>
        <w:spacing w:after="150" w:before="300"/>
      </w:pPr>
      <w:r>
        <w:t xml:space="preserve">13.2 仍待验证</w:t>
      </w:r>
    </w:p>
    <w:p>
      <w:pPr>
        <w:pStyle w:val="ListParagraph"/>
        <w:numPr>
          <w:ilvl w:val="0"/>
          <w:numId w:val="2"/>
        </w:numPr>
        <w:spacing w:after="80"/>
      </w:pPr>
      <w:r>
        <w:t xml:space="preserve">直连 Client Portal Gateway 后，分钟/秒级历史数据可回溯天数是否与 MCP 连接器测得结果一致，或有更高权限</w:t>
      </w:r>
    </w:p>
    <w:p>
      <w:pPr>
        <w:pStyle w:val="ListParagraph"/>
        <w:numPr>
          <w:ilvl w:val="0"/>
          <w:numId w:val="2"/>
        </w:numPr>
        <w:spacing w:after="80"/>
      </w:pPr>
      <w:r>
        <w:t xml:space="preserve">直连 CPAPI 调用 Greeks 字段（7308–7311）的实际返回效果与延迟表现</w:t>
      </w:r>
    </w:p>
    <w:p>
      <w:pPr>
        <w:pStyle w:val="ListParagraph"/>
        <w:numPr>
          <w:ilvl w:val="0"/>
          <w:numId w:val="2"/>
        </w:numPr>
        <w:spacing w:after="80"/>
      </w:pPr>
      <w:r>
        <w:t xml:space="preserve">Finnhub 免费层调用频率（60 次/分钟）在多标的并发场景下是否够用——需按实际标的数量估算</w:t>
      </w:r>
    </w:p>
    <w:p>
      <w:pPr>
        <w:pStyle w:val="ListParagraph"/>
        <w:numPr>
          <w:ilvl w:val="0"/>
          <w:numId w:val="2"/>
        </w:numPr>
        <w:spacing w:after="80"/>
      </w:pPr>
      <w:r>
        <w:t xml:space="preserve">Benzinga Pro 定价未公开，需联系官方销售获取报价后再评估投入产出比</w:t>
      </w:r>
    </w:p>
    <w:p>
      <w:pPr>
        <w:pStyle w:val="Heading2"/>
        <w:spacing w:after="150" w:before="300"/>
      </w:pPr>
      <w:r>
        <w:t xml:space="preserve">13.3 M2 阶段已知代码缺口</w:t>
      </w:r>
    </w:p>
    <w:p>
      <w:pPr>
        <w:pStyle w:val="ListParagraph"/>
        <w:numPr>
          <w:ilvl w:val="0"/>
          <w:numId w:val="2"/>
        </w:numPr>
        <w:spacing w:after="80"/>
      </w:pPr>
      <w:r>
        <w:t xml:space="preserve">RSI 已实现（原已知缺口，已解决）：engine/indicators/trend.py 新增了 rsi(df, period=14, method) 函数，支持 Wilder 平滑（默认，RSI 原始定义采用的方法）与简单滑动平均两种方式，跟 atr() 已有的 method 参数风格保持一致；已接入 engine/pipeline/intraday.py 编排层——调用方不传入 rsi 时，编排层自动用该函数从原始 OHLCV 算出，传入时仍以手动值为准（保留手动覆盖）。score_intraday 的 RSI 权重（第5.2节，20%）现在可以在有足够历史数据时正常参与打分，不再缺失这一权重来源</w:t>
      </w:r>
    </w:p>
    <w:p>
      <w:pPr>
        <w:pStyle w:val="ListParagraph"/>
        <w:numPr>
          <w:ilvl w:val="0"/>
          <w:numId w:val="2"/>
        </w:numPr>
        <w:spacing w:after="80"/>
      </w:pPr>
      <w:r>
        <w:t xml:space="preserve">编排层（engine/pipeline/）对上游数据提出了显式对齐要求，M1 数据采集脚本实现时必须遵守：run_swing_pipeline 要求 asset_ohlcv/benchmark_ohlcv 已按同一组交易日预先对齐，不做隐式日期插值；run_options_pipeline 要求显式传入 target_expiry_years（多到期日的期权链选择是业务判断，不由管道代为决定）；run_leveraged_etf_pipeline 要求 ETF 自身与跟踪标的的两条收益率序列已按索引真实对应同一批交易日</w:t>
      </w:r>
    </w:p>
    <w:p>
      <w:pPr>
        <w:pStyle w:val="Heading1"/>
        <w:spacing w:after="200" w:before="400"/>
      </w:pPr>
      <w:r>
        <w:t xml:space="preserve">14. 附录：竞品参考（Stock Rose / 繁花）</w:t>
      </w:r>
    </w:p>
    <w:p>
      <w:pPr>
        <w:spacing w:after="150"/>
      </w:pPr>
      <w:r>
        <w:t xml:space="preserve">调研过程中参考了"繁花"（stock-rose.com）的财报期权模块作为对照案例，核心观察：</w:t>
      </w:r>
    </w:p>
    <w:p>
      <w:pPr>
        <w:pStyle w:val="ListParagraph"/>
        <w:numPr>
          <w:ilvl w:val="0"/>
          <w:numId w:val="2"/>
        </w:numPr>
        <w:spacing w:after="80"/>
      </w:pPr>
      <w:r>
        <w:t xml:space="preserve">其"获胜概率"字段与标准 Probability of Profit（POP）计算结果吻合，判断底层为 Black-Scholes 或二叉树模型，非随意生成</w:t>
      </w:r>
    </w:p>
    <w:p>
      <w:pPr>
        <w:pStyle w:val="ListParagraph"/>
        <w:numPr>
          <w:ilvl w:val="0"/>
          <w:numId w:val="2"/>
        </w:numPr>
        <w:spacing w:after="80"/>
      </w:pPr>
      <w:r>
        <w:t xml:space="preserve">未能确认该"获胜概率"是纯理论模型输出，还是经过历史财报回测验证——若为前者，财报日的实际尾部风险（跳空、IV crush）可能被低估</w:t>
      </w:r>
    </w:p>
    <w:p>
      <w:pPr>
        <w:pStyle w:val="ListParagraph"/>
        <w:numPr>
          <w:ilvl w:val="0"/>
          <w:numId w:val="2"/>
        </w:numPr>
        <w:spacing w:after="80"/>
      </w:pPr>
      <w:r>
        <w:t xml:space="preserve">可借鉴：单腿期权与价差策略并排展示、统一维度（获胜概率/盈亏平衡/最大盈亏/波动敏感度）的表格结构，信息密度和可比性设计值得参考</w:t>
      </w:r>
    </w:p>
    <w:p>
      <w:pPr>
        <w:pStyle w:val="ListParagraph"/>
        <w:numPr>
          <w:ilvl w:val="0"/>
          <w:numId w:val="2"/>
        </w:numPr>
        <w:spacing w:after="80"/>
      </w:pPr>
      <w:r>
        <w:t xml:space="preserve">不建议照搬：将"获胜概率"直接作为决策依据，除非能验证其计算基础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2026-08-07T11:48:47.112Z</dcterms:created>
  <dcterms:modified xsi:type="dcterms:W3CDTF">2026-08-07T11:48:47.125Z</dcterms:modified>
</cp:coreProperties>
</file>

<file path=docProps/custom.xml><?xml version="1.0" encoding="utf-8"?>
<Properties xmlns="http://schemas.openxmlformats.org/officeDocument/2006/custom-properties" xmlns:vt="http://schemas.openxmlformats.org/officeDocument/2006/docPropsVTypes"/>
</file>