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2937"/>
          <w:sz w:val="56"/>
          <w:szCs w:val="56"/>
        </w:rPr>
        <w:t xml:space="preserve">ADOS-Trade</w:t>
      </w:r>
    </w:p>
    <w:p>
      <w:pPr>
        <w:spacing w:after="400"/>
        <w:jc w:val="center"/>
      </w:pPr>
      <w:r>
        <w:rPr>
          <w:b/>
          <w:bCs/>
          <w:color w:val="1F2937"/>
          <w:sz w:val="36"/>
          <w:szCs w:val="36"/>
        </w:rPr>
        <w:t xml:space="preserve">数据架构与技术规格书</w:t>
      </w:r>
    </w:p>
    <w:p>
      <w:pPr>
        <w:jc w:val="center"/>
      </w:pPr>
      <w:r>
        <w:rPr>
          <w:color w:val="6B7280"/>
          <w:sz w:val="24"/>
          <w:szCs w:val="24"/>
        </w:rPr>
        <w:t xml:space="preserve">v1.0 · 2026-08-03</w:t>
      </w:r>
    </w:p>
    <w:p>
      <w:pPr>
        <w:spacing w:before="100"/>
        <w:jc w:val="center"/>
      </w:pPr>
      <w:r>
        <w:rPr>
          <w:i/>
          <w:iCs/>
          <w:color w:val="6B7280"/>
          <w:sz w:val="22"/>
          <w:szCs w:val="22"/>
        </w:rPr>
        <w:t xml:space="preserve">免费优先，按需升级</w:t>
      </w:r>
    </w:p>
    <w:p>
      <w:r>
        <w:br w:type="page"/>
      </w:r>
    </w:p>
    <w:p>
      <w:pPr>
        <w:pStyle w:val="Heading1"/>
        <w:spacing w:after="200" w:before="400"/>
      </w:pPr>
      <w:r>
        <w:t xml:space="preserve">目录</w:t>
      </w:r>
    </w:p>
    <w:p>
      <w:pPr>
        <w:spacing w:after="150"/>
      </w:pPr>
      <w:r>
        <w:t xml:space="preserve">1. 项目概述</w:t>
      </w:r>
    </w:p>
    <w:p>
      <w:pPr>
        <w:spacing w:after="150"/>
      </w:pPr>
      <w:r>
        <w:t xml:space="preserve">2. 数据分级模型</w:t>
      </w:r>
    </w:p>
    <w:p>
      <w:pPr>
        <w:spacing w:after="150"/>
      </w:pPr>
      <w:r>
        <w:t xml:space="preserve">3. Phase 1：免费 / 零成本数据源清单</w:t>
      </w:r>
    </w:p>
    <w:p>
      <w:pPr>
        <w:spacing w:after="150"/>
      </w:pPr>
      <w:r>
        <w:t xml:space="preserve">4. ADOS Engine 自算指标清单</w:t>
      </w:r>
    </w:p>
    <w:p>
      <w:pPr>
        <w:spacing w:after="150"/>
      </w:pPr>
      <w:r>
        <w:t xml:space="preserve">5. 评分逻辑设计</w:t>
      </w:r>
    </w:p>
    <w:p>
      <w:pPr>
        <w:spacing w:after="150"/>
      </w:pPr>
      <w:r>
        <w:t xml:space="preserve">6. 回测框架设计</w:t>
      </w:r>
    </w:p>
    <w:p>
      <w:pPr>
        <w:spacing w:after="150"/>
      </w:pPr>
      <w:r>
        <w:t xml:space="preserve">7. 第五类：几乎无法自行获得的数据及重要性评估</w:t>
      </w:r>
    </w:p>
    <w:p>
      <w:pPr>
        <w:spacing w:after="150"/>
      </w:pPr>
      <w:r>
        <w:t xml:space="preserve">8. Phase 2：付费升级触发条件</w:t>
      </w:r>
    </w:p>
    <w:p>
      <w:pPr>
        <w:spacing w:after="150"/>
      </w:pPr>
      <w:r>
        <w:t xml:space="preserve">9. 技术栈</w:t>
      </w:r>
    </w:p>
    <w:p>
      <w:pPr>
        <w:spacing w:after="150"/>
      </w:pPr>
      <w:r>
        <w:t xml:space="preserve">10. 分阶段路线图</w:t>
      </w:r>
    </w:p>
    <w:p>
      <w:pPr>
        <w:spacing w:after="150"/>
      </w:pPr>
      <w:r>
        <w:t xml:space="preserve">11. 开发计划</w:t>
      </w:r>
    </w:p>
    <w:p>
      <w:pPr>
        <w:spacing w:after="150"/>
      </w:pPr>
      <w:r>
        <w:t xml:space="preserve">12. 待验证 / 风险清单</w:t>
      </w:r>
    </w:p>
    <w:p>
      <w:pPr>
        <w:spacing w:after="150"/>
      </w:pPr>
      <w:r>
        <w:t xml:space="preserve">13. 附录：竞品参考（Stock Rose / 繁花）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项目概述</w:t>
      </w:r>
    </w:p>
    <w:p>
      <w:pPr>
        <w:pStyle w:val="Heading2"/>
        <w:spacing w:after="150" w:before="300"/>
      </w:pPr>
      <w:r>
        <w:t xml:space="preserve">1.1 项目定位</w:t>
      </w:r>
    </w:p>
    <w:p>
      <w:pPr>
        <w:spacing w:after="150"/>
      </w:pPr>
      <w:r>
        <w:t xml:space="preserve">ADOS-Trade 是一个 Bloomberg Terminal 风格的个人交易决策仪表盘，基于 Next.js / React / TypeScript 构建，数据层通过 Interactive Brokers（IBKR）Client Portal Gateway 接入真实行情，替代早期的 mock 数据阶段。</w:t>
      </w:r>
    </w:p>
    <w:p>
      <w:pPr>
        <w:pStyle w:val="Heading2"/>
        <w:spacing w:after="150" w:before="300"/>
      </w:pPr>
      <w:r>
        <w:t xml:space="preserve">1.2 覆盖场景</w:t>
      </w:r>
    </w:p>
    <w:p>
      <w:pPr>
        <w:spacing w:after="150"/>
      </w:pPr>
      <w:r>
        <w:t xml:space="preserve">本项目需要同时支撑以下四类交易场景，各场景对数据的实时性、颗粒度要求不同：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日内短线 —— RSI / 量比 / MA 信号驱动，对数据实时性要求最高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波段 / 趋势跟踪 —— 数天到数周持仓，日线级别数据即可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期权策略 —— 不限财报窗口，包含常规 covered call、vertical spread 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杠杆 ETF 择时对冲 —— QQQ / TQQQ / SQQQ 的 Bull/Chop/Bear 动态配置模型</w:t>
      </w:r>
    </w:p>
    <w:p>
      <w:pPr>
        <w:pStyle w:val="Heading2"/>
        <w:spacing w:after="150" w:before="300"/>
      </w:pPr>
      <w:r>
        <w:t xml:space="preserve">1.3 核心原则</w:t>
      </w:r>
    </w:p>
    <w:p>
      <w:pPr>
        <w:spacing w:after="150"/>
      </w:pPr>
      <w:r>
        <w:t xml:space="preserve">数据架构的决策原则：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能自己算的指标绝不买，只买真正无法自行获得的原始数据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全部使用免费或已持有的数据源，先把 ADOS Engine 的指标层和策略逻辑跑通、验证有效性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仅在验证后发现具体、明确的数据缺口时，针对性采购，不预先为想象中的需求付费</w:t>
      </w:r>
    </w:p>
    <w:p>
      <w:pPr>
        <w:pStyle w:val="Heading1"/>
        <w:spacing w:after="200" w:before="400"/>
      </w:pPr>
      <w:r>
        <w:t xml:space="preserve">2. 数据分级模型</w:t>
      </w:r>
    </w:p>
    <w:p>
      <w:pPr>
        <w:spacing w:after="150"/>
      </w:pPr>
      <w:r>
        <w:t xml:space="preserve">原始设想将数据分为五类，经过讨论后对分类中的两处偏差做了修正：</w:t>
      </w:r>
    </w:p>
    <w:p>
      <w:pPr>
        <w:shd w:fill="FFF6DC" w:val="clear"/>
        <w:spacing w:after="150"/>
      </w:pPr>
      <w:r>
        <w:rPr>
          <w:i/>
          <w:iCs/>
          <w:color w:val="806000"/>
        </w:rPr>
        <w:t xml:space="preserve">修正 1：Dealer Position / GEX 类指标本质是"基于假设的估算"，而非"真实计算"或"真实数据"——即使花钱购买同类商业产品（如 SpotGamma），得到的也是同一套假设下的估算值，并不存在可购买的"真实"版本。</w:t>
      </w:r>
    </w:p>
    <w:p>
      <w:pPr>
        <w:shd w:fill="FFF6DC" w:val="clear"/>
        <w:spacing w:after="150"/>
      </w:pPr>
      <w:r>
        <w:rPr>
          <w:i/>
          <w:iCs/>
          <w:color w:val="806000"/>
        </w:rPr>
        <w:t xml:space="preserve">修正 2：Dark Pool 成交量实际上会通过 FINRA ADF/TRF 计入合并成交量（consolidated tape volume），只是不会标注具体成交来源；Insider Order（内幕交易披露）通过 SEC Form 4 免费公开，缺口在于"自行解析 filing"而非"购买数据"。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200"/>
        <w:gridCol w:w="2226"/>
      </w:tblGrid>
      <w:tr>
        <w:trPr>
          <w:tblHeader/>
        </w:trPr>
        <w:tc>
          <w:tcPr>
            <w:tcW w:type="dxa" w:w="10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6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典型数据</w:t>
            </w:r>
          </w:p>
        </w:tc>
        <w:tc>
          <w:tcPr>
            <w:tcW w:type="dxa" w:w="22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第一类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交易所原始行情，无法自行生成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正股 Tick / L1 / L2、期权链、OI、成交量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购买 / 经纪商现成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第二类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基础衍生计算，公开算法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VWAP、Volume Profile、POC、Put/Call Ratio、Max Pain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自行计算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第三类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需要假设前提的估算类指标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GEX、Dealer Gamma Estimate、Gamma Wall、IV Rank/Percentile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自行计算（估算性质需标注）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第四类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Greeks，可买可算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 / Gamma / Theta / Vega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首版可用现成 IV 反推自算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第五类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真正必须购买或无法获得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Sweep、Block Trade、Options Flow、Dealer 真实仓位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购买（若确需要）或接受估算</w:t>
            </w:r>
          </w:p>
        </w:tc>
      </w:tr>
    </w:tbl>
    <w:p>
      <w:pPr>
        <w:pStyle w:val="Heading1"/>
        <w:spacing w:after="200" w:before="400"/>
      </w:pPr>
      <w:r>
        <w:t xml:space="preserve">3. Phase 1：免费 / 零成本数据源清单</w:t>
      </w:r>
    </w:p>
    <w:p>
      <w:pPr>
        <w:pStyle w:val="Heading2"/>
        <w:spacing w:after="150" w:before="300"/>
      </w:pPr>
      <w:r>
        <w:t xml:space="preserve">3.1 IBKR（经纪商现成数据，已连接使用）</w:t>
      </w:r>
    </w:p>
    <w:p>
      <w:pPr>
        <w:spacing w:after="150"/>
      </w:pPr>
      <w:r>
        <w:t xml:space="preserve">已通过 IBKR MCP 连接器核实以下字段可直接调用：</w:t>
      </w:r>
    </w:p>
    <w:p>
      <w:pPr>
        <w:pStyle w:val="Heading3"/>
        <w:spacing w:after="100" w:before="200"/>
      </w:pPr>
      <w:r>
        <w:t xml:space="preserve">正股类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8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/ bid_ask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最新价、买卖价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/ prior_close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涨跌幅、昨收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/ high / low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今日开盘、最高、最低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misc_statistics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13/26/52 周历史高低点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avg_90d_usd_volume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天平均成交额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cumulative_perf_1d/1w/1m/ytd/1y/3y/5y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各周期累计收益率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 OHLCV（get_price_history）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秒线到月线，最长 5 年（分钟级实际可回溯天数需实测确认）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期权类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8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期权链结构（get_option_data）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各到期日执行价、合约 ID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option_volume / option_open_interest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单张合约成交量、未平仓量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option_midpoint_iv / implied_vol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单张合约隐含波动率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implied_vol_underlying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标的整体隐含波动率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implied_volatility_percentile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 百分位（13/26/52 周），现成给出，无需自建历史 IV 仓库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historical_vol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天历史波动率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underlying_today/avg_option_volume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标的整体期权成交量（今日 / 均值）</w:t>
            </w:r>
          </w:p>
        </w:tc>
      </w:tr>
    </w:tbl>
    <w:p>
      <w:pPr>
        <w:spacing w:after="200"/>
      </w:pPr>
    </w:p>
    <w:p>
      <w:pPr>
        <w:shd w:fill="FFF6DC" w:val="clear"/>
        <w:spacing w:after="150"/>
      </w:pPr>
      <w:r>
        <w:rPr>
          <w:i/>
          <w:iCs/>
          <w:color w:val="806000"/>
        </w:rPr>
        <w:t xml:space="preserve">待实测确认（非已验证事实）：① 账户市场数据订阅等级是否为实时而非延迟；② 分钟/秒级历史数据实际可回溯天数；③ 该 MCP 连接器是否暴露 Delta/Gamma/Theta/Vega 原始字段（目前未见，需核实 TWS 原生 API 是否有更完整字段）；④ get_price_snapshot 是否包含停牌状态标记。</w:t>
      </w:r>
    </w:p>
    <w:p>
      <w:pPr>
        <w:pStyle w:val="Heading2"/>
        <w:spacing w:after="150" w:before="300"/>
      </w:pPr>
      <w:r>
        <w:t xml:space="preserve">3.2 Finnhub（免费层）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财报日历 + 历史财报意外幅度（EPS / 营收 actual vs estimate，回溯至 2000 年）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分析师目标价、评级升降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社交媒体情绪打分（Reddit / Twitter，MSPR sentiment）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公司新闻（非结构化，存在延迟，日内短线场景不建议依赖）</w:t>
      </w:r>
    </w:p>
    <w:p>
      <w:pPr>
        <w:shd w:fill="FFF6DC" w:val="clear"/>
        <w:spacing w:after="150"/>
      </w:pPr>
      <w:r>
        <w:rPr>
          <w:i/>
          <w:iCs/>
          <w:color w:val="806000"/>
        </w:rPr>
        <w:t xml:space="preserve">限制：免费层 60 次/分钟调用频率，分析师"预期修正趋势"这类深度时间序列数据免费层覆盖程度需实测确认。</w:t>
      </w:r>
    </w:p>
    <w:p>
      <w:pPr>
        <w:pStyle w:val="Heading2"/>
        <w:spacing w:after="150" w:before="300"/>
      </w:pPr>
      <w:r>
        <w:t xml:space="preserve">3.3 官方免费源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4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2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8-K 临时公告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 EDGAR</w:t>
            </w:r>
          </w:p>
        </w:tc>
        <w:tc>
          <w:tcPr>
            <w:tcW w:type="dxa" w:w="4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重大事件披露（需自行解析）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4 内幕交易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 EDGAR</w:t>
            </w:r>
          </w:p>
        </w:tc>
        <w:tc>
          <w:tcPr>
            <w:tcW w:type="dxa" w:w="4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高管/大股东买卖披露（需自行解析）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OpEx / Triple Witching 日历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交易所公开规则</w:t>
            </w:r>
          </w:p>
        </w:tc>
        <w:tc>
          <w:tcPr>
            <w:tcW w:type="dxa" w:w="4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Gamma pinning 效应判断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除权除息日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IBKR 合约信息 / 公司 IR</w:t>
            </w:r>
          </w:p>
        </w:tc>
        <w:tc>
          <w:tcPr>
            <w:tcW w:type="dxa" w:w="4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covered call 提前指派风险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指数再平衡公告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Nasdaq 官网</w:t>
            </w:r>
          </w:p>
        </w:tc>
        <w:tc>
          <w:tcPr>
            <w:tcW w:type="dxa" w:w="4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TQQQ/SQQQ 对手盘调仓压力预警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FOMC / CPI / NFP / PCE 日程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美联储官网 / BLS 官网</w:t>
            </w:r>
          </w:p>
        </w:tc>
        <w:tc>
          <w:tcPr>
            <w:tcW w:type="dxa" w:w="4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宏观事件规避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 Interest（延迟约两周）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FINRA</w:t>
            </w:r>
          </w:p>
        </w:tc>
        <w:tc>
          <w:tcPr>
            <w:tcW w:type="dxa" w:w="4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逼空判断（延迟版，非实时）</w:t>
            </w:r>
          </w:p>
        </w:tc>
      </w:tr>
    </w:tbl>
    <w:p>
      <w:pPr>
        <w:pStyle w:val="Heading1"/>
        <w:spacing w:after="200" w:before="400"/>
      </w:pPr>
      <w:r>
        <w:t xml:space="preserve">4. ADOS Engine 自算指标清单</w:t>
      </w:r>
    </w:p>
    <w:p>
      <w:pPr>
        <w:spacing w:after="150"/>
      </w:pPr>
      <w:r>
        <w:t xml:space="preserve">以下指标全部使用第 3 章数据源计算，不产生额外数据采购成本，但需要在 Engine 层实现计算逻辑：</w:t>
      </w:r>
    </w:p>
    <w:p>
      <w:pPr>
        <w:pStyle w:val="Heading2"/>
        <w:spacing w:after="150" w:before="300"/>
      </w:pPr>
      <w:r>
        <w:t xml:space="preserve">4.1 通用基础指标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VWAP、Volume Profile、POC、Value Area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Put/Call Ratio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 Pain（基于期权 OI 汇总）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 Score / Bear Score / Risk Score / Confidence Score（自研加权评分）</w:t>
      </w:r>
    </w:p>
    <w:p>
      <w:pPr>
        <w:pStyle w:val="Heading2"/>
        <w:spacing w:after="150" w:before="300"/>
      </w:pPr>
      <w:r>
        <w:t xml:space="preserve">4.2 日内短线场景补充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ATR（真实波动幅度）—— 用于动态止损，避免固定点位止损脱离实际波动率</w:t>
      </w:r>
    </w:p>
    <w:p>
      <w:pPr>
        <w:pStyle w:val="Heading2"/>
        <w:spacing w:after="150" w:before="300"/>
      </w:pPr>
      <w:r>
        <w:t xml:space="preserve">4.3 波段 / 趋势场景补充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相对强度 RS（个股涨幅 / 大盘或板块涨幅比值）</w:t>
      </w:r>
    </w:p>
    <w:p>
      <w:pPr>
        <w:pStyle w:val="Heading2"/>
        <w:spacing w:after="150" w:before="300"/>
      </w:pPr>
      <w:r>
        <w:t xml:space="preserve">4.4 期权策略场景补充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IV Skew（同一到期日不同执行价的 IV 分布斜率）—— 判断市场方向偏向，指导 spread 选边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IV Term Structure（不同到期日 IV 的相对高低）—— 判断使用 calendar spread 还是单腿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Greeks（Delta/Gamma/Theta/Vega）—— 用已获取的 implied_vol 反推 Black-Scholes 计算，常规 spread/covered call 选 strike 依赖 Delta，此项从"可选"上升为"刚需"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GEX / Dealer Gamma Estimate / Gamma Wall（估算性质，需标注为假设模型，不作为唯一依据）</w:t>
      </w:r>
    </w:p>
    <w:p>
      <w:pPr>
        <w:pStyle w:val="Heading2"/>
        <w:spacing w:after="150" w:before="300"/>
      </w:pPr>
      <w:r>
        <w:t xml:space="preserve">4.5 杠杆 ETF 对冲场景补充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杠杆 ETF 波动率损耗率 —— 用历史价格回归出实际日损耗率（非理论 ×3），横盘行情下的结构性成本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VIX 期限结构（VIX9D / VIX / VIX3M 相对关系，contango vs backwardation）—— 优于单看 VIX 绝对值的 regime 转折预警</w:t>
      </w:r>
    </w:p>
    <w:p>
      <w:pPr>
        <w:pStyle w:val="Heading2"/>
        <w:spacing w:after="150" w:before="300"/>
      </w:pPr>
      <w:r>
        <w:t xml:space="preserve">4.6 核心公式详解</w:t>
      </w:r>
    </w:p>
    <w:p>
      <w:pPr>
        <w:spacing w:after="150"/>
      </w:pPr>
      <w:r>
        <w:t xml:space="preserve">本节记录关键指标的具体计算公式，供实现时对照。公式本身为确定性数学计算，可用已知案例核对实现是否正确；但部分指标（标注见下）背后的"有效性假设"仍需第 6 章回测框架验证，公式正确不等于信号有效。</w:t>
      </w:r>
    </w:p>
    <w:p>
      <w:pPr>
        <w:pStyle w:val="Heading3"/>
        <w:spacing w:after="100" w:before="200"/>
      </w:pPr>
      <w:r>
        <w:t xml:space="preserve">VWAP（成交量加权均价）</w:t>
      </w:r>
    </w:p>
    <w:p>
      <w:pPr>
        <w:spacing w:after="150"/>
      </w:pPr>
      <w:r>
        <w:t xml:space="preserve">典型价格 = (最高价 + 最低价 + 收盘价) / 3</w:t>
      </w:r>
    </w:p>
    <w:p>
      <w:pPr>
        <w:spacing w:after="150"/>
      </w:pPr>
      <w:r>
        <w:t xml:space="preserve">VWAP = Σ(典型价格 × 成交量) / Σ(成交量)，每个交易日从开盘归零重新累计。</w:t>
      </w:r>
    </w:p>
    <w:p>
      <w:pPr>
        <w:pStyle w:val="Heading3"/>
        <w:spacing w:after="100" w:before="200"/>
      </w:pPr>
      <w:r>
        <w:t xml:space="preserve">Volume Profile / POC / Value Area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将价格区间切分为固定宽度的价格桶，每根 K 线的成交量按其价格区间分配到对应桶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POC（控制点）= 累计成交量最大的价格桶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Value Area（价值区域）= 以 POC 为中心向两侧扩展，累计到总成交量 70% 时停止所覆盖的价格区间</w:t>
      </w:r>
    </w:p>
    <w:p>
      <w:pPr>
        <w:pStyle w:val="Heading3"/>
        <w:spacing w:after="100" w:before="200"/>
      </w:pPr>
      <w:r>
        <w:t xml:space="preserve">Max Pain（最大痛点，假设性质，需第 6 章验证有效性）</w:t>
      </w:r>
    </w:p>
    <w:p>
      <w:pPr>
        <w:spacing w:after="150"/>
      </w:pPr>
      <w:r>
        <w:t xml:space="preserve">对每个候选到期结算价 P：总赔付(P) = Σ[max(0, P－执行价) × 该 Call 未平仓量] + Σ[max(0, 执行价－P) × 该 Put 未平仓量]</w:t>
      </w:r>
    </w:p>
    <w:p>
      <w:pPr>
        <w:spacing w:after="150"/>
      </w:pPr>
      <w:r>
        <w:t xml:space="preserve">Max Pain = 使"总赔付"最小的 P。前提假设：期权卖方（做市商为主）倾向于将结算价引导至该点，此假设在学术与实务界均有争议，不作为唯一决策依据。</w:t>
      </w:r>
    </w:p>
    <w:p>
      <w:pPr>
        <w:pStyle w:val="Heading3"/>
        <w:spacing w:after="100" w:before="200"/>
      </w:pPr>
      <w:r>
        <w:t xml:space="preserve">Put/Call Ratio</w:t>
      </w:r>
    </w:p>
    <w:p>
      <w:pPr>
        <w:spacing w:after="150"/>
      </w:pPr>
      <w:r>
        <w:t xml:space="preserve">成交量比 = 总 Put 成交量 / 总 Call 成交量；持仓量比 = 总 Put 未平仓量 / 总 Call 未平仓量。比值越高市场情绪越偏空，但极端值常被市场参与者当作反向指标使用。</w:t>
      </w:r>
    </w:p>
    <w:p>
      <w:pPr>
        <w:pStyle w:val="Heading3"/>
        <w:spacing w:after="100" w:before="200"/>
      </w:pPr>
      <w:r>
        <w:t xml:space="preserve">ATR（真实波动幅度，日内短线场景）</w:t>
      </w:r>
    </w:p>
    <w:p>
      <w:pPr>
        <w:spacing w:after="150"/>
      </w:pPr>
      <w:r>
        <w:t xml:space="preserve">真实波幅 = max(今日最高－今日最低, |今日最高－昨日收盘|, |今日最低－昨日收盘|)</w:t>
      </w:r>
    </w:p>
    <w:p>
      <w:pPr>
        <w:spacing w:after="150"/>
      </w:pPr>
      <w:r>
        <w:t xml:space="preserve">ATR（14 期，Wilder 平滑法）= (前一日 ATR × 13 + 今日真实波幅) / 14</w:t>
      </w:r>
    </w:p>
    <w:p>
      <w:pPr>
        <w:pStyle w:val="Heading3"/>
        <w:spacing w:after="100" w:before="200"/>
      </w:pPr>
      <w:r>
        <w:t xml:space="preserve">相对强度 RS（波段 / 趋势场景）</w:t>
      </w:r>
    </w:p>
    <w:p>
      <w:pPr>
        <w:spacing w:after="150"/>
      </w:pPr>
      <w:r>
        <w:t xml:space="preserve">简单版：RS = 个股累计涨幅 / 大盘（或板块）累计涨幅</w:t>
      </w:r>
    </w:p>
    <w:p>
      <w:pPr>
        <w:spacing w:after="150"/>
      </w:pPr>
      <w:r>
        <w:t xml:space="preserve">Mansfield RS（更常用）：RS 值 = [(个股价格/大盘价格) ÷ (个股价格/大盘价格的 N 日均线) － 1] × 100，RS 线上升代表跑赢大盘，与绝对价格走势无关。</w:t>
      </w:r>
    </w:p>
    <w:p>
      <w:pPr>
        <w:pStyle w:val="Heading3"/>
        <w:spacing w:after="100" w:before="200"/>
      </w:pPr>
      <w:r>
        <w:t xml:space="preserve">IV Skew（期权场景）</w:t>
      </w:r>
    </w:p>
    <w:p>
      <w:pPr>
        <w:spacing w:after="150"/>
      </w:pPr>
      <w:r>
        <w:t xml:space="preserve">常用计算：25-delta 风险逆转 = 25-delta 虚值 Put 的 IV － 25-delta 虚值 Call 的 IV。正值越大，代表市场为下跌保护支付的溢价越高。</w:t>
      </w:r>
    </w:p>
    <w:p>
      <w:pPr>
        <w:pStyle w:val="Heading3"/>
        <w:spacing w:after="100" w:before="200"/>
      </w:pPr>
      <w:r>
        <w:t xml:space="preserve">IV Term Structure（期权场景）</w:t>
      </w:r>
    </w:p>
    <w:p>
      <w:pPr>
        <w:spacing w:after="150"/>
      </w:pPr>
      <w:r>
        <w:t xml:space="preserve">比较不同到期日的平值期权 IV：IV(30 天) vs IV(60 天) vs IV(90 天)。Contango（近月 IV &lt; 远月 IV）为正常状态；Backwardation（近月 IV &gt; 远月 IV）常见于财报前，反映短期不确定性溢价。</w:t>
      </w:r>
    </w:p>
    <w:p>
      <w:pPr>
        <w:pStyle w:val="Heading3"/>
        <w:spacing w:after="100" w:before="200"/>
      </w:pPr>
      <w:r>
        <w:t xml:space="preserve">Greeks 反推（Black-Scholes，期权场景）</w:t>
      </w:r>
    </w:p>
    <w:p>
      <w:pPr>
        <w:spacing w:after="150"/>
      </w:pPr>
      <w:r>
        <w:t xml:space="preserve">已知标的价 S、执行价 K、剩余年化时间 T、无风险利率 r、股息率 q、IBKR 提供的隐含波动率 σ：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d1 = [ln(S/K) + (r－q+σ²/2)×T] / (σ×√T)　　d2 = d1－σ×√T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Delta(Call) = e^(－qT)×N(d1)　　Delta(Put) = e^(－qT)×(N(d1)－1)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Gamma = e^(－qT)×N′(d1) / (S×σ×√T)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Vega = S×e^(－qT)×N′(d1)×√T / 100（IV 每变动 1% 的价格敏感度）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Theta(Call) = [－S×N′(d1)×σ×e^(－qT)/(2√T) － r×K×e^(－rT)×N(d2) + q×S×e^(－qT)×N(d1)] / 365</w:t>
      </w:r>
    </w:p>
    <w:p>
      <w:pPr>
        <w:spacing w:after="150"/>
      </w:pPr>
      <w:r>
        <w:t xml:space="preserve">N() 为标准正态累积分布函数，N′() 为标准正态密度函数（Python 中 scipy.stats.norm 提供现成实现）。此为欧式期权公式，用于美式期权存在理论误差，V1 版本先行采用，后续可替换为二叉树或 Barone-Adesi-Whaley 近似模型提升精度。</w:t>
      </w:r>
    </w:p>
    <w:p>
      <w:pPr>
        <w:spacing w:after="150"/>
      </w:pPr>
      <w:r>
        <w:t xml:space="preserve">验证方式：IBKR CPAPI 原生提供 Delta/Gamma/Theta/Vega（field code 7308–7311），可用同一期权合约的自算结果与官方数值比对，作为单元测试的基准。</w:t>
      </w:r>
    </w:p>
    <w:p>
      <w:pPr>
        <w:pStyle w:val="Heading3"/>
        <w:spacing w:after="100" w:before="200"/>
      </w:pPr>
      <w:r>
        <w:t xml:space="preserve">杠杆 ETF 波动损耗率（杠杆 ETF 场景，假设性质，需第 6 章验证）</w:t>
      </w:r>
    </w:p>
    <w:p>
      <w:pPr>
        <w:spacing w:after="150"/>
      </w:pPr>
      <w:r>
        <w:t xml:space="preserve">回归法：杠杆 ETF 日收益率 = α + β×标的日收益率 + ε，理想情况 β 应等于杠杆倍数，实际偏差与残差反映真实损耗。</w:t>
      </w:r>
    </w:p>
    <w:p>
      <w:pPr>
        <w:spacing w:after="150"/>
      </w:pPr>
      <w:r>
        <w:t xml:space="preserve">近似公式：波动损耗 ≈ －0.5×(杠杆倍数²－杠杆倍数)×标的日波动率²。例如 3 倍杠杆、标的日波动率 2%，损耗 ≈ －0.5×(9－3)×0.0004 ＝ －0.12%/天，横盘时间越长损耗越显著。</w:t>
      </w:r>
    </w:p>
    <w:p>
      <w:pPr>
        <w:pStyle w:val="Heading3"/>
        <w:spacing w:after="100" w:before="200"/>
      </w:pPr>
      <w:r>
        <w:t xml:space="preserve">VIX 期限结构（杠杆 ETF 场景）</w:t>
      </w:r>
    </w:p>
    <w:p>
      <w:pPr>
        <w:spacing w:after="150"/>
      </w:pPr>
      <w:r>
        <w:t xml:space="preserve">比值 = VIX9D / VIX（或 VIX / VIX3M）。比值 &gt; 1（backwardation）通常为 risk-off 信号；比值 &lt; 1（contango）为正常状态。</w:t>
      </w:r>
    </w:p>
    <w:p>
      <w:pPr>
        <w:pStyle w:val="Heading1"/>
        <w:spacing w:after="200" w:before="400"/>
      </w:pPr>
      <w:r>
        <w:t xml:space="preserve">5. 评分逻辑设计</w:t>
      </w:r>
    </w:p>
    <w:p>
      <w:pPr>
        <w:spacing w:after="150"/>
      </w:pPr>
      <w:r>
        <w:t xml:space="preserve">本章定义 Bull Score / Bear Score / Confidence Score 的设计原则与 V1 初始权重。核心原则：V1 阶段权重为主观设定，用于让系统先跑起来，全部标注为「待验证」；待 M1 数据管道积累足够历史后，M3 回测框架将逐项验证每个子指标与实际涨跌的相关性，用数据驱动的权重替换 V1 主观权重，不作为长期依据。</w:t>
      </w:r>
    </w:p>
    <w:p>
      <w:pPr>
        <w:pStyle w:val="Heading2"/>
        <w:spacing w:after="150" w:before="300"/>
      </w:pPr>
      <w:r>
        <w:t xml:space="preserve">5.1 设计原则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权重演进路径：V1 主观权重先行 → M3 回测积累相关性数据 → 数据驱动权重替换，全流程可追溯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 Score 与 Bear Score 分开计算（而非单一正负分数），保留"多空双弱=震荡"与"多空双强"等场景的区分度，展示层面再合并为净值供用户直读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每个子指标计算前先标准化为 -100 到 +100 的可比子分数，避免不同量纲（价格、百分比、比值）直接加权求和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Score 不是第三个方向性分数，而是 Bull/Bear Score 本次计算结果的可信程度，由数据完整度、子指标间一致性、当前是否处于历史极端行情共同决定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数据留痕要求：engine_indicators 表的 metadata 字段除存子分数外，需同时保存每个子指标的原始输入值，供 M3 回测阶段直接做相关性分析，不需重新设计数据结构</w:t>
      </w:r>
    </w:p>
    <w:p>
      <w:pPr>
        <w:pStyle w:val="Heading2"/>
        <w:spacing w:after="150" w:before="300"/>
      </w:pPr>
      <w:r>
        <w:t xml:space="preserve">5.2 日内短线场景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26"/>
      </w:tblGrid>
      <w:tr>
        <w:trPr>
          <w:tblHeader/>
        </w:trPr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4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方向判断逻辑</w:t>
            </w:r>
          </w:p>
        </w:tc>
        <w:tc>
          <w:tcPr>
            <w:tcW w:type="dxa" w:w="16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初始权重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价格 vs VWAP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价格＞VWAP → Bull；价格＜VWAP → Bear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RSI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RSI＞70 → Bear（超买反转风险）；RSI＜30 → Bull（超卖反弹机会）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量比（当前量/历史均量）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放量突破方向 → 加强该方向分数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价格相对 ATR 的位置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接近日内高点 → 动能强；接近低点 → 动能弱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均线排列（短期 vs 长期）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多头排列 → Bull；空头排列 → Bear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2"/>
        <w:spacing w:after="150" w:before="300"/>
      </w:pPr>
      <w:r>
        <w:t xml:space="preserve">5.3 波段 / 趋势跟踪场景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26"/>
      </w:tblGrid>
      <w:tr>
        <w:trPr>
          <w:tblHeader/>
        </w:trPr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4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方向判断逻辑</w:t>
            </w:r>
          </w:p>
        </w:tc>
        <w:tc>
          <w:tcPr>
            <w:tcW w:type="dxa" w:w="16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初始权重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相对强度 RS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 线上升 → Bull；下降 → Bear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中长期均线趋势（50/200 日）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价格站上 → 对应方向 Bull；跌破 → Bear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Profile 位置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价格在 Value Area 上方 → 偏强；下方 → 偏弱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Put/Call Ratio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极端值时反向解读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板块 / 大盘联动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同向 → 加强；背离 → 降低置信度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  <w:spacing w:after="150" w:before="300"/>
      </w:pPr>
      <w:r>
        <w:t xml:space="preserve">5.4 期权策略场景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26"/>
      </w:tblGrid>
      <w:tr>
        <w:trPr>
          <w:tblHeader/>
        </w:trPr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4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方向判断逻辑</w:t>
            </w:r>
          </w:p>
        </w:tc>
        <w:tc>
          <w:tcPr>
            <w:tcW w:type="dxa" w:w="16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初始权重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 Skew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 Skew 越强 → 市场偏空头保护，提示谨慎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 Term Structure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Backwardation → 短期不确定性高，提示降低仓位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Pain vs 当前价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偏离越大 → 回归压力提示越强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 Percentile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 IV Rank → 适合卖方策略；低 IV Rank → 适合买方策略（影响策略选择而非方向）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历史财报意外幅度（仅财报窗口期）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历史持续超预期 → 提示 Bull 倾向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2"/>
        <w:spacing w:after="150" w:before="300"/>
      </w:pPr>
      <w:r>
        <w:t xml:space="preserve">5.5 杠杆 ETF 对冲场景（Regime 判断，而非方向打分）</w:t>
      </w:r>
    </w:p>
    <w:p>
      <w:pPr>
        <w:spacing w:after="150"/>
      </w:pPr>
      <w:r>
        <w:t xml:space="preserve">该场景本质是判断当前处于 Bull / Chop / Bear 三态中的哪一态以决定配置比例，而非单纯看涨看跌打分：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26"/>
      </w:tblGrid>
      <w:tr>
        <w:trPr>
          <w:tblHeader/>
        </w:trPr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4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Regime 判断逻辑</w:t>
            </w:r>
          </w:p>
        </w:tc>
        <w:tc>
          <w:tcPr>
            <w:tcW w:type="dxa" w:w="16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初始权重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VIX 绝对水平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分段判断：＜15 低波动，15–25 正常，＞25 高波动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VIX 期限结构（9D/VIX/3M）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Backwardation → Bear regime 倾向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大盘 200 日均线位置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站上 → Bull 基调；跌破 → Bear 基调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波动损耗率（近 30 天实际值）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损耗过高 → 提示减少杠杆敞口</w:t>
            </w:r>
          </w:p>
        </w:tc>
        <w:tc>
          <w:tcPr>
            <w:tcW w:type="dxa" w:w="1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</w:tbl>
    <w:p>
      <w:pPr>
        <w:pStyle w:val="Heading1"/>
        <w:spacing w:after="200" w:before="400"/>
      </w:pPr>
      <w:r>
        <w:t xml:space="preserve">6. 回测框架设计</w:t>
      </w:r>
    </w:p>
    <w:p>
      <w:pPr>
        <w:spacing w:after="150"/>
      </w:pPr>
      <w:r>
        <w:t xml:space="preserve">本章定义如何验证第 5 章的评分逻辑是否真正有效，是"数据驱动权重"这一原则的具体落地方式。</w:t>
      </w:r>
    </w:p>
    <w:p>
      <w:pPr>
        <w:pStyle w:val="Heading2"/>
        <w:spacing w:after="150" w:before="300"/>
      </w:pPr>
      <w:r>
        <w:t xml:space="preserve">6.1 核心设计原则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验证，而非简单历史回测：权重只用截至当时可获得的历史数据计算，滚动向前验证，避免用未来数据优化过去（look-ahead bias）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相关性分析反推权重：对每个子指标计算其历史取值与未来实际收益的信息系数（IC），相关性强的提高权重，弱的降低或剔除，这是"数据驱动"的具体机制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结果报告需包含命中率、平均盈亏比、最大回撤、样本量，不能只看单一的"赚不赚钱"</w:t>
      </w:r>
    </w:p>
    <w:p>
      <w:pPr>
        <w:pStyle w:val="Heading2"/>
        <w:spacing w:after="150" w:before="300"/>
      </w:pPr>
      <w:r>
        <w:t xml:space="preserve">6.2 四场景成功判定标准</w:t>
      </w:r>
    </w:p>
    <w:p>
      <w:pPr>
        <w:pStyle w:val="Heading3"/>
        <w:spacing w:after="100" w:before="200"/>
      </w:pPr>
      <w:r>
        <w:t xml:space="preserve">日内短线</w:t>
      </w:r>
    </w:p>
    <w:p>
      <w:pPr>
        <w:spacing w:after="150"/>
      </w:pPr>
      <w:r>
        <w:t xml:space="preserve">使用 ATR 动态目标，不用固定百分比（不同股票波动率差异大，固定百分比不可比）：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目标价 = 入场价 ± N×ATR（方向由 Bull/Bear Score 决定，N 初始取 1.5）；止损价 = 入场价 ∓ M×ATR（M 初始取 1）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判定：收盘前目标价先触及 → 成功；止损价先触及 → 失败；均未触及 → 记为"未分出胜负"，单独统计，不计入胜率分母</w:t>
      </w:r>
    </w:p>
    <w:p>
      <w:pPr>
        <w:pStyle w:val="Heading3"/>
        <w:spacing w:after="100" w:before="200"/>
      </w:pPr>
      <w:r>
        <w:t xml:space="preserve">波段 / 趋势跟踪</w:t>
      </w:r>
    </w:p>
    <w:p>
      <w:pPr>
        <w:spacing w:after="150"/>
      </w:pPr>
      <w:r>
        <w:t xml:space="preserve">持仓周期固定为信号触发后 N 个交易日（初始 N=10），成功判定必须相对基准，不能只看绝对收益：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超额收益 = 持仓期绝对收益 － 同期基准（QQQ 或对应板块 ETF）涨跌幅；超额收益 ＞ 0 才算成功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若仅看绝对收益，牛市期间任何信号都会虚高胜率，测的是大盘 beta 而非评分逻辑本身的 alpha，故必须扣除基准</w:t>
      </w:r>
    </w:p>
    <w:p>
      <w:pPr>
        <w:pStyle w:val="Heading3"/>
        <w:spacing w:after="100" w:before="200"/>
      </w:pPr>
      <w:r>
        <w:t xml:space="preserve">期权策略</w:t>
      </w:r>
    </w:p>
    <w:p>
      <w:pPr>
        <w:spacing w:after="150"/>
      </w:pPr>
      <w:r>
        <w:t xml:space="preserve">成功判定基于真实可执行的退出规则，而非假设持有至到期（存在 Pin Risk 与提前指派风险）：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退出规则：达到最大理论盈利 50% 时提前平仓，或剩余 21 天到期时强制平仓，两者先触发者为准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需单独统计持仓期间最大浮亏，不能仅看最终盈亏，避免掩盖过程中的真实风险</w:t>
      </w:r>
    </w:p>
    <w:p>
      <w:pPr>
        <w:pStyle w:val="Heading3"/>
        <w:spacing w:after="100" w:before="200"/>
      </w:pPr>
      <w:r>
        <w:t xml:space="preserve">杠杆 ETF Regime 判断</w:t>
      </w:r>
    </w:p>
    <w:p>
      <w:pPr>
        <w:spacing w:after="150"/>
      </w:pPr>
      <w:r>
        <w:t xml:space="preserve">评估对象是持续的配置决策而非单笔交易，对比按 Regime 建议配置比例的组合收益与纯买入持有基准的收益：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评估标准为风险调整后收益（如夏普比率）与最大回撤，而非单看收益率——杠杆 ETF 波动巨大，Regime 判断的价值应体现在回撤更小，而非仅收益更高</w:t>
      </w:r>
    </w:p>
    <w:p>
      <w:pPr>
        <w:pStyle w:val="Heading2"/>
        <w:spacing w:after="150" w:before="300"/>
      </w:pPr>
      <w:r>
        <w:t xml:space="preserve">6.3 硬性要求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样本量门槛：任何子指标/场景的信号数量低于 30 次之前，胜率或相关系数标注为"样本不足，暂不采信"，避免小样本偶然性被误判为规律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交易成本计入：期权回测使用买一/卖一价模拟真实成交，不用中间价（mid price），避免高估策略表现</w:t>
      </w:r>
    </w:p>
    <w:p>
      <w:pPr>
        <w:pStyle w:val="Heading2"/>
        <w:spacing w:after="150" w:before="300"/>
      </w:pPr>
      <w:r>
        <w:t xml:space="preserve">6.4 回测数据存储设计</w:t>
      </w:r>
    </w:p>
    <w:p>
      <w:pPr>
        <w:spacing w:after="150"/>
      </w:pPr>
      <w:r>
        <w:t xml:space="preserve">在 schema.sql 基础上新增三张表，支撑上述验证流程：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58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backtest_signals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主表，每条信号触发到退出的完整生命周期一行记录，含方向、目标价/止损价、实际退出价、收益率、超额收益、最大浮亏等字段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backtest_indicator_contributions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明细表，记录每次信号触发时各子指标的原始值与标准化子分数，是相关性分析的数据基础，缺失此表将无法反推权重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indicator_correlation_history</w:t>
            </w:r>
          </w:p>
        </w:tc>
        <w:tc>
          <w:tcPr>
            <w:tcW w:type="dxa" w:w="5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权重迭代历史记录表，每次批量分析后写入各子指标的信息系数（IC）与建议权重，含样本量是否达标（is_reliable）标记</w:t>
            </w:r>
          </w:p>
        </w:tc>
      </w:tr>
    </w:tbl>
    <w:p>
      <w:pPr>
        <w:spacing w:after="150"/>
      </w:pPr>
      <w:r>
        <w:t xml:space="preserve">该三张表的完整 SQL 定义已同步更新至项目仓库的 data/schema.sql 文件。</w:t>
      </w:r>
    </w:p>
    <w:p>
      <w:pPr>
        <w:pStyle w:val="Heading1"/>
        <w:spacing w:after="200" w:before="400"/>
      </w:pPr>
      <w:r>
        <w:t xml:space="preserve">7. 第五类：几乎无法自行获得的数据及重要性评估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rPr>
          <w:tblHeader/>
        </w:trPr>
        <w:tc>
          <w:tcPr>
            <w:tcW w:type="dxa" w:w="18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6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为什么不能自算</w:t>
            </w:r>
          </w:p>
        </w:tc>
        <w:tc>
          <w:tcPr>
            <w:tcW w:type="dxa" w:w="24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对当前四场景重要性</w:t>
            </w:r>
          </w:p>
        </w:tc>
        <w:tc>
          <w:tcPr>
            <w:tcW w:type="dxa" w:w="22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Sweep（扫单）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需跨交易所实时识别订单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低（仅"跟随大单"策略需要）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暂不采购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 Trade（大宗成交）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需专业识别规则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低—中（波段场景略有参考价值）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暂不采购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Options Flow（资金流分类）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买卖方向判断需成熟算法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中（对期权场景相关性最高，但准确率有限）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暂不采购，等待具体策略需求确认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Dealer Position（真实做市商仓位）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市场无公开数据，购买产品同样是估算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不适用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不采购——用自算估算模型替代即可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 Short Interest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FINRA 官方数据延迟约两周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中（逼空策略场景）</w:t>
            </w:r>
          </w:p>
        </w:tc>
        <w:tc>
          <w:tcPr>
            <w:tcW w:type="dxa" w:w="22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先用免费延迟版，逼空为核心打法时再考虑 Ortex/S3</w:t>
            </w:r>
          </w:p>
        </w:tc>
      </w:tr>
    </w:tbl>
    <w:p>
      <w:pPr>
        <w:pStyle w:val="Heading1"/>
        <w:spacing w:after="200" w:before="400"/>
      </w:pPr>
      <w:r>
        <w:t xml:space="preserve">8. Phase 2：付费升级触发条件</w:t>
      </w:r>
    </w:p>
    <w:p>
      <w:pPr>
        <w:spacing w:after="150"/>
      </w:pPr>
      <w:r>
        <w:t xml:space="preserve">以下各项仅在满足对应触发条件时才考虑采购，不预先订阅：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数据/服务</w:t>
            </w:r>
          </w:p>
        </w:tc>
        <w:tc>
          <w:tcPr>
            <w:tcW w:type="dxa" w:w="38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Benzinga Pro 结构化实时新闻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日内短线确立为核心打法，验证出新闻驱动信号有效</w:t>
            </w:r>
          </w:p>
        </w:tc>
        <w:tc>
          <w:tcPr>
            <w:tcW w:type="dxa" w:w="2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目前架构中唯一明确建议"该花钱"的项目；定价需联系官方销售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分析师预期修正趋势深度数据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Finnhub 免费层覆盖深度经实测不足</w:t>
            </w:r>
          </w:p>
        </w:tc>
        <w:tc>
          <w:tcPr>
            <w:tcW w:type="dxa" w:w="2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优先级低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Options Flow / Sweep 数据商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明确要做"跟随大单进场"类策略</w:t>
            </w:r>
          </w:p>
        </w:tc>
        <w:tc>
          <w:tcPr>
            <w:tcW w:type="dxa" w:w="2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优先级低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实时短仓估算（Ortex/S3）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逼空策略成为核心打法</w:t>
            </w:r>
          </w:p>
        </w:tc>
        <w:tc>
          <w:tcPr>
            <w:tcW w:type="dxa" w:w="2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本质仍是估算值，非真实仓位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Polygon/Databento 实时 Tick/L2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IBKR 数据经实测无法满足某具体场景的颗粒度要求</w:t>
            </w:r>
          </w:p>
        </w:tc>
        <w:tc>
          <w:tcPr>
            <w:tcW w:type="dxa" w:w="2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先确认 IBKR 缺口边界，再针对性采购，避免整体订阅</w:t>
            </w:r>
          </w:p>
        </w:tc>
      </w:tr>
    </w:tbl>
    <w:p>
      <w:pPr>
        <w:pStyle w:val="Heading1"/>
        <w:spacing w:after="200" w:before="400"/>
      </w:pPr>
      <w:r>
        <w:t xml:space="preserve">9.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4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44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金融时间序列场景成熟选型，免费，支持大规模历史数据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缓存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4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实时行情与最新计算结果缓存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离线分析/回测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DuckDB（补充）</w:t>
            </w:r>
          </w:p>
        </w:tc>
        <w:tc>
          <w:tcPr>
            <w:tcW w:type="dxa" w:w="44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列式存储，免部署，适合历史数据批量分析与策略回测，与 TimescaleDB 分工：线上实时用 TimescaleDB，研究性批量分析用 DuckDB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对象存储（可选）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 / 本地 NAS</w:t>
            </w:r>
          </w:p>
        </w:tc>
        <w:tc>
          <w:tcPr>
            <w:tcW w:type="dxa" w:w="44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回测数据、日志、模型文件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金融生态成熟，Greeks 计算、回测、AI 集成均有现成库</w:t>
            </w:r>
          </w:p>
        </w:tc>
      </w:tr>
    </w:tbl>
    <w:p>
      <w:pPr>
        <w:pStyle w:val="Heading1"/>
        <w:spacing w:after="200" w:before="400"/>
      </w:pPr>
      <w:r>
        <w:t xml:space="preserve">10. 分阶段路线图</w:t>
      </w:r>
    </w:p>
    <w:p>
      <w:pPr>
        <w:pStyle w:val="Heading2"/>
        <w:spacing w:after="150" w:before="300"/>
      </w:pPr>
      <w:r>
        <w:t xml:space="preserve">Phase 1（零成本验证）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数据源：IBKR 现成数据 + Finnhub 免费层 + 官方免费日历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目标：把 ADOS Engine 的指标计算层和评分逻辑跑通，用历史数据做 walk-forward 回测，验证策略有效性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产出：确认哪些具体场景/策略存在真实数据缺口，而不是假设性缺口</w:t>
      </w:r>
    </w:p>
    <w:p>
      <w:pPr>
        <w:pStyle w:val="Heading2"/>
        <w:spacing w:after="150" w:before="300"/>
      </w:pPr>
      <w:r>
        <w:t xml:space="preserve">Phase 2（按需升级）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仅针对 Phase 1 验证后暴露出的具体缺口，参照第 8 章触发条件表逐项评估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优先级：日内短线新闻速度 &gt; 其他</w:t>
      </w:r>
    </w:p>
    <w:p>
      <w:pPr>
        <w:pStyle w:val="Heading1"/>
        <w:spacing w:after="200" w:before="400"/>
      </w:pPr>
      <w:r>
        <w:t xml:space="preserve">11. 开发计划</w:t>
      </w:r>
    </w:p>
    <w:p>
      <w:pPr>
        <w:spacing w:after="150"/>
      </w:pPr>
      <w:r>
        <w:t xml:space="preserve">本项目为个人维护型项目，采用里程碑制（M0–M6）而非固定日历排期——每个里程碑有明确的前置依赖和产出标准，完成即推进下一阶段，避免按日期赶工导致跳过验证步骤。</w:t>
      </w:r>
    </w:p>
    <w:p>
      <w:pPr>
        <w:pStyle w:val="Heading2"/>
        <w:spacing w:after="150" w:before="300"/>
      </w:pPr>
      <w:r>
        <w:t xml:space="preserve">M0：基础设施与可行性验证</w:t>
      </w:r>
    </w:p>
    <w:p>
      <w:pPr>
        <w:spacing w:after="150"/>
      </w:pPr>
      <w:r>
        <w:t xml:space="preserve">目标：在写任何业务代码之前，先把"很可能推倒重来"的风险点验证掉，避免后期返工。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确认 IBKR 账户市场数据订阅等级（实时 vs 延迟）——已通过 MCP 连接器实测确认，详见第 12 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实测分钟/秒级历史数据实际可回溯天数——已通过 MCP 连接器实测，结果需要在直连 Client Portal Gateway 后复测确认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确认 Greeks 原始字段的可获得边界——已查证 IBKR Client Portal Web API 官方文档，详见第 12 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部署 PostgreSQL + TimescaleDB + Redis 基础环境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打通 IBKR 数据链路的最小可行示例（单一标的的报价 + 期权链稳定拉取）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搭建认证自动化方案（IBeam + Auto-Restart + 保活 + 掉线告警），将人工 2FA 干预频率降到最低</w:t>
      </w:r>
    </w:p>
    <w:p>
      <w:pPr>
        <w:spacing w:after="150"/>
      </w:pPr>
      <w:r>
        <w:t xml:space="preserve">产出：一份「数据能力边界确认清单」，作为后续所有开发的前提假设基线，避免中途发现假设错误再推倒重来。</w:t>
      </w:r>
    </w:p>
    <w:p>
      <w:pPr>
        <w:pStyle w:val="Heading3"/>
        <w:spacing w:after="100" w:before="200"/>
      </w:pPr>
      <w:r>
        <w:t xml:space="preserve">M0 补充：认证自动化方案</w:t>
      </w:r>
    </w:p>
    <w:p>
      <w:pPr>
        <w:spacing w:after="150"/>
      </w:pPr>
      <w:r>
        <w:t xml:space="preserve">IBKR 个人零售账户无法通过 OAuth 完全跳过 2FA（该方式仅对机构用户开放），现实目标是把人工干预频率降到最低、并自动化掉能自动化的部分：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8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部署方式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使用开源工具 IBeam（voyz/ibeam 镜像）自动化 Client Portal Gateway 登录流程：docker pull voyz/ibeam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账号密码配置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 env.list 或 Docker Secrets 提供 IBEAM_ACCOUNT / IBEAM_PASSWORD，生产环境不入库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Gateway 配置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按需调整 conf.yaml；改端口通过 docker-compose 端口映射，不直接改 listenPort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启动与首次认证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run --env-file env.list -p 5000:5000 voyz/ibeam，手机 IB Key 推送需手动确认一次（个人账户无法绕过）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验证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curl https://localhost:5000/v1/api/portfolio/accounts -k 确认返回账户信息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登出策略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将 Gateway 设置由 Auto-Logoff 改为 Auto-Restart，2FA 频率从每天降至每周一次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保活脚本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定时（间隔小于 60 秒）调用 /v1/api/tickle，并轮询 /iserver/auth/status 的 authenticated 字段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掉线告警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 变为 false 时通过 Telegram/邮件通知，及时手动重新确认，避免策略静默停摆</w:t>
            </w:r>
          </w:p>
        </w:tc>
      </w:tr>
    </w:tbl>
    <w:p>
      <w:pPr>
        <w:shd w:fill="FFF6DC" w:val="clear"/>
        <w:spacing w:after="150"/>
      </w:pPr>
      <w:r>
        <w:rPr>
          <w:i/>
          <w:iCs/>
          <w:color w:val="806000"/>
        </w:rPr>
        <w:t xml:space="preserve">注意：IBeam 仅自动化 Client Portal Web API Gateway 的登录，若之后需要用 TWS 桌面版或原生 Socket API，需改用另一工具 IBC，两者不通用。</w:t>
      </w:r>
    </w:p>
    <w:p>
      <w:pPr>
        <w:pStyle w:val="Heading2"/>
        <w:spacing w:after="150" w:before="300"/>
      </w:pPr>
      <w:r>
        <w:t xml:space="preserve">M1：数据管道与存储层</w:t>
      </w:r>
    </w:p>
    <w:p>
      <w:pPr>
        <w:spacing w:after="150"/>
      </w:pPr>
      <w:r>
        <w:t xml:space="preserve">目标：把 IBKR 与 Finnhub 免费层的数据稳定采集并写入 TimescaleDB。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正股 OHLCV 定时采集入库（按场景所需最小频率，日内场景优先做到分钟级）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期权链 + IV + OI 定时采集入库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Finnhub 财报日历、历史意外幅度、分析师数据、社交情绪同步入库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官方免费日历建表（OpEx、除息、指数再平衡、宏观事件）并规划更新机制</w:t>
      </w:r>
    </w:p>
    <w:p>
      <w:pPr>
        <w:spacing w:after="150"/>
      </w:pPr>
      <w:r>
        <w:t xml:space="preserve">产出：一个可持续运行的数据采集服务，历史数据可查询、可回溯，为 M2 指标计算提供稳定输入。</w:t>
      </w:r>
    </w:p>
    <w:p>
      <w:pPr>
        <w:pStyle w:val="Heading2"/>
        <w:spacing w:after="150" w:before="300"/>
      </w:pPr>
      <w:r>
        <w:t xml:space="preserve">M2：ADOS Engine 指标计算层</w:t>
      </w:r>
    </w:p>
    <w:p>
      <w:pPr>
        <w:spacing w:after="150"/>
      </w:pPr>
      <w:r>
        <w:t xml:space="preserve">目标：实现第 4 章列出的全部自算指标。建议按依赖复杂度从低到高推进：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第一批（通用基础）：VWAP、Volume Profile、POC、Max Pain、Put/Call Ratio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第二批（日内/波段场景）：ATR、相对强度 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第三批（期权场景）：Greeks 反推（Black-Scholes）、IV Skew、IV Term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第四批（杠杆 ETF 场景）：波动损耗率回归、VIX 期限结构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第五批（估算类，依赖前四批稳定后再做）：GEX / Dealer Gamma Estimate / Gamma Wall</w:t>
      </w:r>
    </w:p>
    <w:p>
      <w:pPr>
        <w:spacing w:after="150"/>
      </w:pPr>
      <w:r>
        <w:t xml:space="preserve">产出：每个指标一个可独立测试的计算函数，配合历史数据抽样核对计算结果的合理性。</w:t>
      </w:r>
    </w:p>
    <w:p>
      <w:pPr>
        <w:pStyle w:val="Heading2"/>
        <w:spacing w:after="150" w:before="300"/>
      </w:pPr>
      <w:r>
        <w:t xml:space="preserve">M3：评分逻辑与回测框架</w:t>
      </w:r>
    </w:p>
    <w:p>
      <w:pPr>
        <w:spacing w:after="150"/>
      </w:pPr>
      <w:r>
        <w:t xml:space="preserve">目标：让 Bull/Bear/Risk/Confidence Score 可验证，避免成为没有验证过的黑盒。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定义评分权重初始版本（可先用主观权重跑通流程）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搭建 walk-forward 回测框架，模拟历史时点按当时评分操作的结果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跑历史数据，记录命中率、平均盈亏比等具体指标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根据回测结果迭代评分权重</w:t>
      </w:r>
    </w:p>
    <w:p>
      <w:pPr>
        <w:spacing w:after="150"/>
      </w:pPr>
      <w:r>
        <w:t xml:space="preserve">产出：一份包含具体数字（命中率、盈亏比）的回测报告，作为评分逻辑是否上线的判断依据。</w:t>
      </w:r>
    </w:p>
    <w:p>
      <w:pPr>
        <w:pStyle w:val="Heading2"/>
        <w:spacing w:after="150" w:before="300"/>
      </w:pPr>
      <w:r>
        <w:t xml:space="preserve">M4：前端仪表盘对接</w:t>
      </w:r>
    </w:p>
    <w:p>
      <w:pPr>
        <w:spacing w:after="150"/>
      </w:pPr>
      <w:r>
        <w:t xml:space="preserve">目标：将 ADOS Engine 输出接入现有 Next.js / React 前端，正式替换早期 mock 数据。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设计 Engine 计算结果与前端消费之间的 API 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按四个场景分别设计仪表盘视图（日内 / 波段 / 期权 / 杠杆 ETF）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接入 Redis 缓存策略，避免前端每次刷新重复触发指标计算</w:t>
      </w:r>
    </w:p>
    <w:p>
      <w:pPr>
        <w:pStyle w:val="Heading2"/>
        <w:spacing w:after="150" w:before="300"/>
      </w:pPr>
      <w:r>
        <w:t xml:space="preserve">M5：事件日历与预警集成</w:t>
      </w:r>
    </w:p>
    <w:p>
      <w:pPr>
        <w:spacing w:after="150"/>
      </w:pPr>
      <w:r>
        <w:t xml:space="preserve">目标：把 3.3 节的日历体系（OpEx、除息、财报、宏观、指数再平衡）做成主动提醒，而非被动查询。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统一日历数据表结构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前端"今日 / 本周事件"模块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持仓标的的关键事件（除息日、财报日等）触发提醒逻辑</w:t>
      </w:r>
    </w:p>
    <w:p>
      <w:pPr>
        <w:pStyle w:val="Heading2"/>
        <w:spacing w:after="150" w:before="300"/>
      </w:pPr>
      <w:r>
        <w:t xml:space="preserve">M6：观察期与 Phase 2 决策</w:t>
      </w:r>
    </w:p>
    <w:p>
      <w:pPr>
        <w:spacing w:after="150"/>
      </w:pPr>
      <w:r>
        <w:t xml:space="preserve">目标：实盘/模拟观察一段时间，收集真实使用中暴露的数据缺口，而非假设性缺口。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按四个场景实际使用，记录遇到的具体数据不足情况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对照第 8 章触发条件表，评估是否需要采购 Phase 2 数据/服务</w:t>
      </w:r>
    </w:p>
    <w:p>
      <w:pPr>
        <w:spacing w:after="150"/>
      </w:pPr>
      <w:r>
        <w:t xml:space="preserve">产出：一份有实际使用证据支撑的 Phase 2 采购决策清单。</w:t>
      </w:r>
    </w:p>
    <w:p>
      <w:pPr>
        <w:pStyle w:val="Heading1"/>
        <w:spacing w:after="200" w:before="400"/>
      </w:pPr>
      <w:r>
        <w:t xml:space="preserve">12. 待验证 / 风险清单</w:t>
      </w:r>
    </w:p>
    <w:p>
      <w:pPr>
        <w:spacing w:after="150"/>
      </w:pPr>
      <w:r>
        <w:t xml:space="preserve">本章记录截至目前的实测与查证结果。重要说明：以下实测通过 IBKR MCP 连接器完成，该连接器与 ADOS-Trade 直连的 Client Portal Gateway 共享底层 Client Portal Web API（CPAPI），但只暴露了其中一部分字段——凡实测结果为「可行/正常」的结论可直接沿用（底层数据源相同）；凡实测结果为「不可行/缺失」的结论仅代表 MCP 连接器的封装限制，不代表 CPAPI 本身不支持，需在直连后复测确认。</w:t>
      </w:r>
    </w:p>
    <w:p>
      <w:pPr>
        <w:pStyle w:val="Heading2"/>
        <w:spacing w:after="150" w:before="300"/>
      </w:pPr>
      <w:r>
        <w:t xml:space="preserve">12.1 已实测确认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2400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626"/>
            <w:shd w:fill="2F3B5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市场数据实时性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实时/近实时</w:t>
            </w:r>
          </w:p>
        </w:tc>
        <w:tc>
          <w:tcPr>
            <w:tcW w:type="dxa" w:w="4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实测报价时间戳与查询时间相差不到 1 分钟，非 15–20 分钟经典延迟数据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分钟线历史可回溯天数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约 3–4 个交易日</w:t>
            </w:r>
          </w:p>
        </w:tc>
        <w:tc>
          <w:tcPr>
            <w:tcW w:type="dxa" w:w="4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单次最大 1000 根 1 分钟 K 线仅覆盖约 4 个交易日，远短于最初假设；此结果来自 MCP 连接器，直连 CPAPI 后需复测是否有更高权限的历史深度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Greeks 原始字段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CPAPI 原生支持，MCP 连接器未暴露</w:t>
            </w:r>
          </w:p>
        </w:tc>
        <w:tc>
          <w:tcPr>
            <w:tcW w:type="dxa" w:w="4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已查证 IBKR 官方 Client Portal Web API 文档（/iserver/marketdata/snapshot），Delta(7308)/Gamma(7309)/Theta(7310)/Vega(7311) 为原生字段；ADOS-Trade 直连 CPAPI 可直接取用，无需用 IV 反推 Black-Scholes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停牌状态标记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已确认存在</w:t>
            </w:r>
          </w:p>
        </w:tc>
        <w:tc>
          <w:tcPr>
            <w:tcW w:type="dxa" w:w="4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get_price_snapshot 的 last 字段含 halted 布尔值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免 2FA 方案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个人账户不可用</w:t>
            </w:r>
          </w:p>
        </w:tc>
        <w:tc>
          <w:tcPr>
            <w:tcW w:type="dxa" w:w="4626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仅机构用户可用 OAuth 直连跳过 Gateway/2FA；个人账户现实方案见 M0 认证自动化章节（IBeam + Auto-Restart，2FA 频率可降至每周一次）</w:t>
            </w:r>
          </w:p>
        </w:tc>
      </w:tr>
    </w:tbl>
    <w:p>
      <w:pPr>
        <w:pStyle w:val="Heading2"/>
        <w:spacing w:after="150" w:before="300"/>
      </w:pPr>
      <w:r>
        <w:t xml:space="preserve">12.2 仍待验证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直连 Client Portal Gateway 后，分钟/秒级历史数据可回溯天数是否与 MCP 连接器测得结果一致，或有更高权限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直连 CPAPI 调用 Greeks 字段（7308–7311）的实际返回效果与延迟表现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Finnhub 免费层调用频率（60 次/分钟）在多标的并发场景下是否够用——需按实际标的数量估算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Benzinga Pro 定价未公开，需联系官方销售获取报价后再评估投入产出比</w:t>
      </w:r>
    </w:p>
    <w:p>
      <w:pPr>
        <w:pStyle w:val="Heading1"/>
        <w:spacing w:after="200" w:before="400"/>
      </w:pPr>
      <w:r>
        <w:t xml:space="preserve">13. 附录：竞品参考（Stock Rose / 繁花）</w:t>
      </w:r>
    </w:p>
    <w:p>
      <w:pPr>
        <w:spacing w:after="150"/>
      </w:pPr>
      <w:r>
        <w:t xml:space="preserve">调研过程中参考了"繁花"（stock-rose.com）的财报期权模块作为对照案例，核心观察：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其"获胜概率"字段与标准 Probability of Profit（POP）计算结果吻合，判断底层为 Black-Scholes 或二叉树模型，非随意生成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未能确认该"获胜概率"是纯理论模型输出，还是经过历史财报回测验证——若为前者，财报日的实际尾部风险（跳空、IV crush）可能被低估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可借鉴：单腿期权与价差策略并排展示、统一维度（获胜概率/盈亏平衡/最大盈亏/波动敏感度）的表格结构，信息密度和可比性设计值得参考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不建议照搬：将"获胜概率"直接作为决策依据，除非能验证其计算基础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2026-08-06T03:16:24.106Z</dcterms:created>
  <dcterms:modified xsi:type="dcterms:W3CDTF">2026-08-06T03:16:24.124Z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