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360"/>
              <w:left w:type="dxa" w:w="400"/>
              <w:bottom w:type="dxa" w:w="360"/>
              <w:right w:type="dxa" w:w="400"/>
            </w:tcMar>
          </w:tcPr>
          <w:p>
            <w:pPr>
              <w:jc w:val="center"/>
            </w:pPr>
            <w:r>
              <w:rPr>
                <w:rFonts w:ascii="Arial" w:cs="Arial" w:eastAsia="Arial" w:hAnsi="Arial"/>
                <w:b/>
                <w:bCs/>
                <w:color w:val="FFFFFF"/>
                <w:sz w:val="34"/>
                <w:szCs w:val="34"/>
              </w:rPr>
              <w:t xml:space="preserve">AESTHETICS360</w:t>
            </w:r>
          </w:p>
          <w:p>
            <w:pPr>
              <w:spacing w:before="80"/>
              <w:jc w:val="center"/>
            </w:pPr>
            <w:r>
              <w:rPr>
                <w:rFonts w:ascii="Arial" w:cs="Arial" w:eastAsia="Arial" w:hAnsi="Arial"/>
                <w:color w:val="BDD7EE"/>
                <w:sz w:val="26"/>
                <w:szCs w:val="26"/>
              </w:rPr>
              <w:t xml:space="preserve">20 Use Cases: How the Global Library Helps Providers Sell, Educate &amp; Plan</w:t>
            </w:r>
          </w:p>
        </w:tc>
      </w:tr>
    </w:tbl>
    <w:p>
      <w:pPr>
        <w:spacing w:after="0" w:before="200"/>
      </w:pPr>
      <w:r>
        <w:t xml:space="preserve"/>
      </w:r>
    </w:p>
    <w:p>
      <w:pPr>
        <w:spacing w:after="70" w:before="70"/>
      </w:pPr>
      <w:r>
        <w:rPr>
          <w:rFonts w:ascii="Arial" w:cs="Arial" w:eastAsia="Arial" w:hAnsi="Arial"/>
          <w:i/>
          <w:iCs/>
          <w:color w:val="1A1A2E"/>
          <w:sz w:val="21"/>
          <w:szCs w:val="21"/>
        </w:rPr>
        <w:t xml:space="preserve">The A360 Global Library exists to do one thing better than anyone else: help a provider turn a consultation into the right treatment plan, explained so well the patient understands exactly what they are getting and why it is worth it. The data is built to sell and to educate — and those are the same act. A patient who understands how a treatment brings their face into balance is a patient who says yes.</w:t>
      </w:r>
    </w:p>
    <w:p>
      <w:pPr>
        <w:spacing w:after="0" w:before="60"/>
      </w:pPr>
      <w:r>
        <w:t xml:space="preserve"/>
      </w:r>
    </w:p>
    <w:p>
      <w:pPr>
        <w:spacing w:after="70" w:before="70"/>
      </w:pPr>
      <w:r>
        <w:rPr>
          <w:rFonts w:ascii="Arial" w:cs="Arial" w:eastAsia="Arial" w:hAnsi="Arial"/>
          <w:i/>
          <w:iCs/>
          <w:color w:val="1A1A2E"/>
          <w:sz w:val="21"/>
          <w:szCs w:val="21"/>
        </w:rPr>
        <w:t xml:space="preserve">Citations appear wherever they strengthen trust — a provider tapping "View on PubMed" or "Open FDA label" in front of a hesitant patient is powerful. But not everything is a citation. Much of the Library is robust, beautifully-worded education compiled from many sources: how a treatment works, what the patient is paying for, how combination therapy restores facial harmony. We cite the safety and the science; we craft the story. Both come from the same well of curated data.</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  </w:t>
            </w:r>
            <w:r>
              <w:rPr>
                <w:rFonts w:ascii="Arial" w:cs="Arial" w:eastAsia="Arial" w:hAnsi="Arial"/>
                <w:b/>
                <w:bCs/>
                <w:color w:val="FFFFFF"/>
                <w:sz w:val="24"/>
                <w:szCs w:val="24"/>
              </w:rPr>
              <w:t xml:space="preserve">The Sticker-Shock Filler Consult</w:t>
            </w:r>
          </w:p>
          <w:p>
            <w:pPr>
              <w:spacing w:before="40"/>
            </w:pPr>
            <w:r>
              <w:rPr>
                <w:rFonts w:ascii="Arial" w:cs="Arial" w:eastAsia="Arial" w:hAnsi="Arial"/>
                <w:i/>
                <w:iCs/>
                <w:color w:val="BDD7EE"/>
                <w:sz w:val="19"/>
                <w:szCs w:val="19"/>
              </w:rPr>
              <w:t xml:space="preserve">Turning a price objection into a value conversation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wants cheek filler but freezes when she hears the per-syringe price. She says "that seems like a lot for something temporary."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pulls up the Juvéderm Voluma cost-benefit education and reframes: this is a 2-year result, not a touch-up. A360 surfaces the value-per-month framing and the "what you're paying for" language — premium HA engineered for lift, placed by a trained injector — so the conversation moves from price to investment.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lens (cost_benefit) — </w:t>
            </w:r>
            <w:r>
              <w:rPr>
                <w:rFonts w:ascii="Arial" w:cs="Arial" w:eastAsia="Arial" w:hAnsi="Arial"/>
                <w:color w:val="1A1A2E"/>
                <w:sz w:val="20"/>
                <w:szCs w:val="20"/>
              </w:rPr>
              <w:t xml:space="preserve">the value-per-outcome framing and "what you're paying for" script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products table — </w:t>
            </w:r>
            <w:r>
              <w:rPr>
                <w:rFonts w:ascii="Arial" w:cs="Arial" w:eastAsia="Arial" w:hAnsi="Arial"/>
                <w:color w:val="1A1A2E"/>
                <w:sz w:val="20"/>
                <w:szCs w:val="20"/>
              </w:rPr>
              <w:t xml:space="preserve">Voluma duration_of_effect (~24 months) to anchor the longevity argument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FDA label — </w:t>
            </w:r>
            <w:r>
              <w:rPr>
                <w:rFonts w:ascii="Arial" w:cs="Arial" w:eastAsia="Arial" w:hAnsi="Arial"/>
                <w:color w:val="1A1A2E"/>
                <w:sz w:val="20"/>
                <w:szCs w:val="20"/>
              </w:rPr>
              <w:t xml:space="preserve">optional tap to show the approved duration if she wants proof</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crafted education (no citation needed to say "this lasts about two years and here's why that matters"). The FDA duration is available as a one-tap citation if she pushes back on the longevity claim.</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2  </w:t>
            </w:r>
            <w:r>
              <w:rPr>
                <w:rFonts w:ascii="Arial" w:cs="Arial" w:eastAsia="Arial" w:hAnsi="Arial"/>
                <w:b/>
                <w:bCs/>
                <w:color w:val="FFFFFF"/>
                <w:sz w:val="24"/>
                <w:szCs w:val="24"/>
              </w:rPr>
              <w:t xml:space="preserve">Bringing the Face Into Balance</w:t>
            </w:r>
          </w:p>
          <w:p>
            <w:pPr>
              <w:spacing w:before="40"/>
            </w:pPr>
            <w:r>
              <w:rPr>
                <w:rFonts w:ascii="Arial" w:cs="Arial" w:eastAsia="Arial" w:hAnsi="Arial"/>
                <w:i/>
                <w:iCs/>
                <w:color w:val="BDD7EE"/>
                <w:sz w:val="19"/>
                <w:szCs w:val="19"/>
              </w:rPr>
              <w:t xml:space="preserve">Explaining combination therapy as facial harmony, not a list of treatments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points to her smile lines and asks for filler there. The provider sees the real issue is midface volume loss pulling everything down — the smile lines are a symptom.</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uses A360's combination_therapy education to explain, in plain warm language, how restoring cheek volume lifts the lower face and softens the folds — bringing the face back into proportion. The system describes the synergy: relax, restore, refine, as one plan rather than three purchases.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lens (combination_therapy) — </w:t>
            </w:r>
            <w:r>
              <w:rPr>
                <w:rFonts w:ascii="Arial" w:cs="Arial" w:eastAsia="Arial" w:hAnsi="Arial"/>
                <w:color w:val="1A1A2E"/>
                <w:sz w:val="20"/>
                <w:szCs w:val="20"/>
              </w:rPr>
              <w:t xml:space="preserve">the "facial harmony / complete result" narrative that sells the plan, not the line item</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 </w:t>
            </w:r>
            <w:r>
              <w:rPr>
                <w:rFonts w:ascii="Arial" w:cs="Arial" w:eastAsia="Arial" w:hAnsi="Arial"/>
                <w:color w:val="1A1A2E"/>
                <w:sz w:val="20"/>
                <w:szCs w:val="20"/>
              </w:rPr>
              <w:t xml:space="preserve">approved Voluma + toxin pairing with sequencing and patient_education_text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Clinical-planning dossier (facial proportion) — </w:t>
            </w:r>
            <w:r>
              <w:rPr>
                <w:rFonts w:ascii="Arial" w:cs="Arial" w:eastAsia="Arial" w:hAnsi="Arial"/>
                <w:color w:val="1A1A2E"/>
                <w:sz w:val="20"/>
                <w:szCs w:val="20"/>
              </w:rPr>
              <w:t xml:space="preserve">the proportion principles translated into patient-friendly "balance" language</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Almost entirely crafted education — this is the persuasive heart of the product. No citation is needed to describe how a face comes into balance; the goal is vivid, accurate, beautiful explanation drawn from many sources.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3  </w:t>
            </w:r>
            <w:r>
              <w:rPr>
                <w:rFonts w:ascii="Arial" w:cs="Arial" w:eastAsia="Arial" w:hAnsi="Arial"/>
                <w:b/>
                <w:bCs/>
                <w:color w:val="FFFFFF"/>
                <w:sz w:val="24"/>
                <w:szCs w:val="24"/>
              </w:rPr>
              <w:t xml:space="preserve">The Nervous First-Timer</w:t>
            </w:r>
          </w:p>
          <w:p>
            <w:pPr>
              <w:spacing w:before="40"/>
            </w:pPr>
            <w:r>
              <w:rPr>
                <w:rFonts w:ascii="Arial" w:cs="Arial" w:eastAsia="Arial" w:hAnsi="Arial"/>
                <w:i/>
                <w:iCs/>
                <w:color w:val="BDD7EE"/>
                <w:sz w:val="19"/>
                <w:szCs w:val="19"/>
              </w:rPr>
              <w:t xml:space="preserve">Using safety data to build confidence, not fear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has never had Botox. She's read scary things online and asks "is this actually safe?"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addresses the fear head-on with the curated safety floor — the one place A360 speaks with authority. It surfaces the FDA contraindications plainly (so the provider can confirm none apply) and reassures with decades of data, then offers the FDA label as a tap-to-verify citation that visibly builds trust.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(safety floor) — </w:t>
            </w:r>
            <w:r>
              <w:rPr>
                <w:rFonts w:ascii="Arial" w:cs="Arial" w:eastAsia="Arial" w:hAnsi="Arial"/>
                <w:color w:val="1A1A2E"/>
                <w:sz w:val="20"/>
                <w:szCs w:val="20"/>
              </w:rPr>
              <w:t xml:space="preserve">authoritative contraindication list, stated plainly and FDA-cited</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FDA label — </w:t>
            </w:r>
            <w:r>
              <w:rPr>
                <w:rFonts w:ascii="Arial" w:cs="Arial" w:eastAsia="Arial" w:hAnsi="Arial"/>
                <w:color w:val="1A1A2E"/>
                <w:sz w:val="20"/>
                <w:szCs w:val="20"/>
              </w:rPr>
              <w:t xml:space="preserve">the clickable "this is the actual FDA label" trust moment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(objection_reframes) — </w:t>
            </w:r>
            <w:r>
              <w:rPr>
                <w:rFonts w:ascii="Arial" w:cs="Arial" w:eastAsia="Arial" w:hAnsi="Arial"/>
                <w:color w:val="1A1A2E"/>
                <w:sz w:val="20"/>
                <w:szCs w:val="20"/>
              </w:rPr>
              <w:t xml:space="preserve">the "will I look frozen" reframe in reassuring language</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Heavily cited — safety is the ONE place A360 asserts with authority. The clickable FDA label in front of a nervous patient is the single most trust-building citation moment in the product.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4  </w:t>
            </w:r>
            <w:r>
              <w:rPr>
                <w:rFonts w:ascii="Arial" w:cs="Arial" w:eastAsia="Arial" w:hAnsi="Arial"/>
                <w:b/>
                <w:bCs/>
                <w:color w:val="FFFFFF"/>
                <w:sz w:val="24"/>
                <w:szCs w:val="24"/>
              </w:rPr>
              <w:t xml:space="preserve">The Wedding Timeline</w:t>
            </w:r>
          </w:p>
          <w:p>
            <w:pPr>
              <w:spacing w:before="40"/>
            </w:pPr>
            <w:r>
              <w:rPr>
                <w:rFonts w:ascii="Arial" w:cs="Arial" w:eastAsia="Arial" w:hAnsi="Arial"/>
                <w:i/>
                <w:iCs/>
                <w:color w:val="BDD7EE"/>
                <w:sz w:val="19"/>
                <w:szCs w:val="19"/>
              </w:rPr>
              <w:t xml:space="preserve">Sequencing a plan backward from an event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bride's wedding is 10 weeks out. She wants to look refreshed but not "done." She's worried about bruising and timing.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builds a timeline that works backward from the date. A360 supplies onset and peak-effect ranges so toxin lands its peak before the wedding, filler has time to settle, and any bruising risk window is cleared. The patient sees a calendar, not a guess.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products table — </w:t>
            </w:r>
            <w:r>
              <w:rPr>
                <w:rFonts w:ascii="Arial" w:cs="Arial" w:eastAsia="Arial" w:hAnsi="Arial"/>
                <w:color w:val="1A1A2E"/>
                <w:sz w:val="20"/>
                <w:szCs w:val="20"/>
              </w:rPr>
              <w:t xml:space="preserve">onset_time, peak_effect, min_retreatment_interval as ranges to schedule backward</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(technique_guide, gateway posture) — </w:t>
            </w:r>
            <w:r>
              <w:rPr>
                <w:rFonts w:ascii="Arial" w:cs="Arial" w:eastAsia="Arial" w:hAnsi="Arial"/>
                <w:color w:val="1A1A2E"/>
                <w:sz w:val="20"/>
                <w:szCs w:val="20"/>
              </w:rPr>
              <w:t xml:space="preserve">characterized timing ranges + "see prescribing info for exact protocol" pointer</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(timing_guidance) — </w:t>
            </w:r>
            <w:r>
              <w:rPr>
                <w:rFonts w:ascii="Arial" w:cs="Arial" w:eastAsia="Arial" w:hAnsi="Arial"/>
                <w:color w:val="1A1A2E"/>
                <w:sz w:val="20"/>
                <w:szCs w:val="20"/>
              </w:rPr>
              <w:t xml:space="preserve">toxin-before-filler sequencing for a same-visit or staged plan</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Ranges are characterized education ("toxin typically peaks around two weeks"), with the FDA label one tap away for the exact figure. Gateway posture: we point to the authoritative protocol rather than asserting a precise number.</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5  </w:t>
            </w:r>
            <w:r>
              <w:rPr>
                <w:rFonts w:ascii="Arial" w:cs="Arial" w:eastAsia="Arial" w:hAnsi="Arial"/>
                <w:b/>
                <w:bCs/>
                <w:color w:val="FFFFFF"/>
                <w:sz w:val="24"/>
                <w:szCs w:val="24"/>
              </w:rPr>
              <w:t xml:space="preserve">The Returning Botox Patient Who Drifted</w:t>
            </w:r>
          </w:p>
          <w:p>
            <w:pPr>
              <w:spacing w:before="40"/>
            </w:pPr>
            <w:r>
              <w:rPr>
                <w:rFonts w:ascii="Arial" w:cs="Arial" w:eastAsia="Arial" w:hAnsi="Arial"/>
                <w:i/>
                <w:iCs/>
                <w:color w:val="BDD7EE"/>
                <w:sz w:val="19"/>
                <w:szCs w:val="19"/>
              </w:rPr>
              <w:t xml:space="preserve">Re-engaging lapsed patients with their own history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hasn't been in for 8 months. Her last Botox has fully worn off and she's mentioned the lines are back.</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Before she even arrives, the provider's follow-up references her actual history and the maintenance story — why consistent treatment keeps results smooth and why the every-3-to-4-month cadence matters. A360's maintenance_story education frames re-treatment as ongoing care, not a repeated expense.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(maintenance_story) — </w:t>
            </w:r>
            <w:r>
              <w:rPr>
                <w:rFonts w:ascii="Arial" w:cs="Arial" w:eastAsia="Arial" w:hAnsi="Arial"/>
                <w:color w:val="1A1A2E"/>
                <w:sz w:val="20"/>
                <w:szCs w:val="20"/>
              </w:rPr>
              <w:t xml:space="preserve">the recurring-care narrative that supports rebooking and membership</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products table — </w:t>
            </w:r>
            <w:r>
              <w:rPr>
                <w:rFonts w:ascii="Arial" w:cs="Arial" w:eastAsia="Arial" w:hAnsi="Arial"/>
                <w:color w:val="1A1A2E"/>
                <w:sz w:val="20"/>
                <w:szCs w:val="20"/>
              </w:rPr>
              <w:t xml:space="preserve">duration_of_effect to explain why the cadence exists</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Commercial dossier (selling_memberships) — </w:t>
            </w:r>
            <w:r>
              <w:rPr>
                <w:rFonts w:ascii="Arial" w:cs="Arial" w:eastAsia="Arial" w:hAnsi="Arial"/>
                <w:color w:val="1A1A2E"/>
                <w:sz w:val="20"/>
                <w:szCs w:val="20"/>
              </w:rPr>
              <w:t xml:space="preserve">the membership value logic for a regular toxin patient</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Crafted education. The cadence is framed persuasively from product duration data; no formal citation is needed to tell a patient why staying on schedule keeps her looking her best.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6  </w:t>
            </w:r>
            <w:r>
              <w:rPr>
                <w:rFonts w:ascii="Arial" w:cs="Arial" w:eastAsia="Arial" w:hAnsi="Arial"/>
                <w:b/>
                <w:bCs/>
                <w:color w:val="FFFFFF"/>
                <w:sz w:val="24"/>
                <w:szCs w:val="24"/>
              </w:rPr>
              <w:t xml:space="preserve">The Masseter / Jawline Slimming Request</w:t>
            </w:r>
          </w:p>
          <w:p>
            <w:pPr>
              <w:spacing w:before="40"/>
            </w:pPr>
            <w:r>
              <w:rPr>
                <w:rFonts w:ascii="Arial" w:cs="Arial" w:eastAsia="Arial" w:hAnsi="Arial"/>
                <w:i/>
                <w:iCs/>
                <w:color w:val="BDD7EE"/>
                <w:sz w:val="19"/>
                <w:szCs w:val="19"/>
              </w:rPr>
              <w:t xml:space="preserve">Educating on an off-label aesthetic use honestly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wants a slimmer jawline and has seen "jaw Botox" online. She asks how it works and how much she'll need.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explains the mechanism in plain terms — relaxing the masseter muscle so it gradually slims — using A360's deep_product education. For dosing, the gateway posture kicks in: A360 characterizes the typical range and points to the source for exact protocol, keeping the provider out of false-precision territory.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deep_product lens (mechanism_detail) — </w:t>
            </w:r>
            <w:r>
              <w:rPr>
                <w:rFonts w:ascii="Arial" w:cs="Arial" w:eastAsia="Arial" w:hAnsi="Arial"/>
                <w:color w:val="1A1A2E"/>
                <w:sz w:val="20"/>
                <w:szCs w:val="20"/>
              </w:rPr>
              <w:t xml:space="preserve">the "how masseter treatment actually works" explanation in patient language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(gateway posture) — </w:t>
            </w:r>
            <w:r>
              <w:rPr>
                <w:rFonts w:ascii="Arial" w:cs="Arial" w:eastAsia="Arial" w:hAnsi="Arial"/>
                <w:color w:val="1A1A2E"/>
                <w:sz w:val="20"/>
                <w:szCs w:val="20"/>
              </w:rPr>
              <w:t xml:space="preserve">dosing characterized as a range + pointer, never a precise A360-asserted table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PubMed — </w:t>
            </w:r>
            <w:r>
              <w:rPr>
                <w:rFonts w:ascii="Arial" w:cs="Arial" w:eastAsia="Arial" w:hAnsi="Arial"/>
                <w:color w:val="1A1A2E"/>
                <w:sz w:val="20"/>
                <w:szCs w:val="20"/>
              </w:rPr>
              <w:t xml:space="preserve">optional citation to the clinical literature on masseter treatment if the patient wants depth</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Blended. The mechanism is crafted education; the dosing is a characterized range (gateway posture); the literature is available as a PubMed citation for the curious or skeptical patient.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7  </w:t>
            </w:r>
            <w:r>
              <w:rPr>
                <w:rFonts w:ascii="Arial" w:cs="Arial" w:eastAsia="Arial" w:hAnsi="Arial"/>
                <w:b/>
                <w:bCs/>
                <w:color w:val="FFFFFF"/>
                <w:sz w:val="24"/>
                <w:szCs w:val="24"/>
              </w:rPr>
              <w:t xml:space="preserve">The Skincare-Curious Patient</w:t>
            </w:r>
          </w:p>
          <w:p>
            <w:pPr>
              <w:spacing w:before="40"/>
            </w:pPr>
            <w:r>
              <w:rPr>
                <w:rFonts w:ascii="Arial" w:cs="Arial" w:eastAsia="Arial" w:hAnsi="Arial"/>
                <w:i/>
                <w:iCs/>
                <w:color w:val="BDD7EE"/>
                <w:sz w:val="19"/>
                <w:szCs w:val="19"/>
              </w:rPr>
              <w:t xml:space="preserve">Upselling a regimen through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came in for a HydraFacial and asks what she should be doing at home for her skin.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uses A360's skincare actives education to explain what each active actually does — retinoids for turnover, vitamin C for brightness, SPF as the non-negotiable. The education makes the regimen make sense, which sells the products far better than a price list.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Category dossier (skincare_actives, sales_education) — </w:t>
            </w:r>
            <w:r>
              <w:rPr>
                <w:rFonts w:ascii="Arial" w:cs="Arial" w:eastAsia="Arial" w:hAnsi="Arial"/>
                <w:color w:val="1A1A2E"/>
                <w:sz w:val="20"/>
                <w:szCs w:val="20"/>
              </w:rPr>
              <w:t xml:space="preserve">the "what each active does and why" patient explainer</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PubMed — </w:t>
            </w:r>
            <w:r>
              <w:rPr>
                <w:rFonts w:ascii="Arial" w:cs="Arial" w:eastAsia="Arial" w:hAnsi="Arial"/>
                <w:color w:val="1A1A2E"/>
                <w:sz w:val="20"/>
                <w:szCs w:val="20"/>
              </w:rPr>
              <w:t xml:space="preserve">retinoid and vitamin C evidence available as citations for an evidence-minded patient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deep_product lens — </w:t>
            </w:r>
            <w:r>
              <w:rPr>
                <w:rFonts w:ascii="Arial" w:cs="Arial" w:eastAsia="Arial" w:hAnsi="Arial"/>
                <w:color w:val="1A1A2E"/>
                <w:sz w:val="20"/>
                <w:szCs w:val="20"/>
              </w:rPr>
              <w:t xml:space="preserve">differentiation between a medical-grade active and a drugstore version</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education for the regimen story; retinoids and vitamin C have deep PubMed support available as one-tap citations for patients who want the science behind the recommendation.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8  </w:t>
            </w:r>
            <w:r>
              <w:rPr>
                <w:rFonts w:ascii="Arial" w:cs="Arial" w:eastAsia="Arial" w:hAnsi="Arial"/>
                <w:b/>
                <w:bCs/>
                <w:color w:val="FFFFFF"/>
                <w:sz w:val="24"/>
                <w:szCs w:val="24"/>
              </w:rPr>
              <w:t xml:space="preserve">The Filler-vs-Filler Question</w:t>
            </w:r>
          </w:p>
          <w:p>
            <w:pPr>
              <w:spacing w:before="40"/>
            </w:pPr>
            <w:r>
              <w:rPr>
                <w:rFonts w:ascii="Arial" w:cs="Arial" w:eastAsia="Arial" w:hAnsi="Arial"/>
                <w:i/>
                <w:iCs/>
                <w:color w:val="BDD7EE"/>
                <w:sz w:val="19"/>
                <w:szCs w:val="19"/>
              </w:rPr>
              <w:t xml:space="preserve">Choosing the right product with a comparison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asks why the provider is recommending Voluma for her cheeks instead of the Restylane she read about.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pulls the comparison: where each product excels, the lift characteristics, the duration. A360's comparison education explains the choice honestly — this product for this anatomy and this goal — so the patient trusts the recommendation rather than feeling sold.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agent_fuel_documents (comparison_fuel) — </w:t>
            </w:r>
            <w:r>
              <w:rPr>
                <w:rFonts w:ascii="Arial" w:cs="Arial" w:eastAsia="Arial" w:hAnsi="Arial"/>
                <w:color w:val="1A1A2E"/>
                <w:sz w:val="20"/>
                <w:szCs w:val="20"/>
              </w:rPr>
              <w:t xml:space="preserve">the structured product-vs-product comparison with the differentiators</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deep_product lens (comparison_anchors) — </w:t>
            </w:r>
            <w:r>
              <w:rPr>
                <w:rFonts w:ascii="Arial" w:cs="Arial" w:eastAsia="Arial" w:hAnsi="Arial"/>
                <w:color w:val="1A1A2E"/>
                <w:sz w:val="20"/>
                <w:szCs w:val="20"/>
              </w:rPr>
              <w:t xml:space="preserve">the honest "when this one, when that one" framing</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FDA labels — </w:t>
            </w:r>
            <w:r>
              <w:rPr>
                <w:rFonts w:ascii="Arial" w:cs="Arial" w:eastAsia="Arial" w:hAnsi="Arial"/>
                <w:color w:val="1A1A2E"/>
                <w:sz w:val="20"/>
                <w:szCs w:val="20"/>
              </w:rPr>
              <w:t xml:space="preserve">both products' approved indications available as citations</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Blended. The comparison narrative is crafted from multiple sources; the FDA-approved indication for each product is a tap-to-verify citation that backs up the recommendation.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9  </w:t>
            </w:r>
            <w:r>
              <w:rPr>
                <w:rFonts w:ascii="Arial" w:cs="Arial" w:eastAsia="Arial" w:hAnsi="Arial"/>
                <w:b/>
                <w:bCs/>
                <w:color w:val="FFFFFF"/>
                <w:sz w:val="24"/>
                <w:szCs w:val="24"/>
              </w:rPr>
              <w:t xml:space="preserve">The Sun-Damage Resurfacing Plan</w:t>
            </w:r>
          </w:p>
          <w:p>
            <w:pPr>
              <w:spacing w:before="40"/>
            </w:pPr>
            <w:r>
              <w:rPr>
                <w:rFonts w:ascii="Arial" w:cs="Arial" w:eastAsia="Arial" w:hAnsi="Arial"/>
                <w:i/>
                <w:iCs/>
                <w:color w:val="BDD7EE"/>
                <w:sz w:val="19"/>
                <w:szCs w:val="19"/>
              </w:rPr>
              <w:t xml:space="preserve">Selling an energy treatment through the mechanism story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with sun spots and uneven tone asks about "those laser treatments." She doesn't understand what they do.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explains how the energy device targets pigment and stimulates renewal, using A360's deep_product education to make an invisible mechanism tangible. Understanding what the device does — and what the downtime really is — converts curiosity into a booking.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deep_product lens (mechanism_detail) — </w:t>
            </w:r>
            <w:r>
              <w:rPr>
                <w:rFonts w:ascii="Arial" w:cs="Arial" w:eastAsia="Arial" w:hAnsi="Arial"/>
                <w:color w:val="1A1A2E"/>
                <w:sz w:val="20"/>
                <w:szCs w:val="20"/>
              </w:rPr>
              <w:t xml:space="preserve">the accessible "how the laser works on your skin" explanation</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services table — </w:t>
            </w:r>
            <w:r>
              <w:rPr>
                <w:rFonts w:ascii="Arial" w:cs="Arial" w:eastAsia="Arial" w:hAnsi="Arial"/>
                <w:color w:val="1A1A2E"/>
                <w:sz w:val="20"/>
                <w:szCs w:val="20"/>
              </w:rPr>
              <w:t xml:space="preserve">recovery and results intervals to set honest expectations</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(gateway, 510(k) note) — </w:t>
            </w:r>
            <w:r>
              <w:rPr>
                <w:rFonts w:ascii="Arial" w:cs="Arial" w:eastAsia="Arial" w:hAnsi="Arial"/>
                <w:color w:val="1A1A2E"/>
                <w:sz w:val="20"/>
                <w:szCs w:val="20"/>
              </w:rPr>
              <w:t xml:space="preserve">framing energy-device claims appropriately (cleared vs approved)</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crafted education — energy-device evidence is thinner in public literature, so this leans on well-worded mechanism explanation. Honest framing (clearance vs approval) keeps claims defensible without over-citing.</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10  </w:t>
            </w:r>
            <w:r>
              <w:rPr>
                <w:rFonts w:ascii="Arial" w:cs="Arial" w:eastAsia="Arial" w:hAnsi="Arial"/>
                <w:b/>
                <w:bCs/>
                <w:color w:val="FFFFFF"/>
                <w:sz w:val="24"/>
                <w:szCs w:val="24"/>
              </w:rPr>
              <w:t xml:space="preserve">The Lip Filler Aesthetic Conversation</w:t>
            </w:r>
          </w:p>
          <w:p>
            <w:pPr>
              <w:spacing w:before="40"/>
            </w:pPr>
            <w:r>
              <w:rPr>
                <w:rFonts w:ascii="Arial" w:cs="Arial" w:eastAsia="Arial" w:hAnsi="Arial"/>
                <w:i/>
                <w:iCs/>
                <w:color w:val="BDD7EE"/>
                <w:sz w:val="19"/>
                <w:szCs w:val="19"/>
              </w:rPr>
              <w:t xml:space="preserve">Talking proportion and natural results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wants "bigger lips" but the provider can see that what she actually wants is balance — her lower lip overpowers a thin upper lip.</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reframes the goal around proportion using A360's facial-balance education: not bigger, but balanced — restoring the ideal upper-to-lower ratio so the result looks natural. The education gives the provider the vocabulary to redirect toward a result the patient will actually love.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Anatomy dossier (perioral, sales_education) — </w:t>
            </w:r>
            <w:r>
              <w:rPr>
                <w:rFonts w:ascii="Arial" w:cs="Arial" w:eastAsia="Arial" w:hAnsi="Arial"/>
                <w:color w:val="1A1A2E"/>
                <w:sz w:val="20"/>
                <w:szCs w:val="20"/>
              </w:rPr>
              <w:t xml:space="preserve">the proportion-and-natural-results framing in patient language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Clinical-planning dossier (aesthetic balance) — </w:t>
            </w:r>
            <w:r>
              <w:rPr>
                <w:rFonts w:ascii="Arial" w:cs="Arial" w:eastAsia="Arial" w:hAnsi="Arial"/>
                <w:color w:val="1A1A2E"/>
                <w:sz w:val="20"/>
                <w:szCs w:val="20"/>
              </w:rPr>
              <w:t xml:space="preserve">the upper/lower lip ratio principle translated for the patient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 </w:t>
            </w:r>
            <w:r>
              <w:rPr>
                <w:rFonts w:ascii="Arial" w:cs="Arial" w:eastAsia="Arial" w:hAnsi="Arial"/>
                <w:color w:val="1A1A2E"/>
                <w:sz w:val="20"/>
                <w:szCs w:val="20"/>
              </w:rPr>
              <w:t xml:space="preserve">approved lip product options and their characteristics</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Almost entirely crafted education. Describing how balanced lips look natural is the persuasive art the Library is built for — no citation needed, just accurate, beautiful explanation of proportion.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11  </w:t>
            </w:r>
            <w:r>
              <w:rPr>
                <w:rFonts w:ascii="Arial" w:cs="Arial" w:eastAsia="Arial" w:hAnsi="Arial"/>
                <w:b/>
                <w:bCs/>
                <w:color w:val="FFFFFF"/>
                <w:sz w:val="24"/>
                <w:szCs w:val="24"/>
              </w:rPr>
              <w:t xml:space="preserve">The Membership Pitch</w:t>
            </w:r>
          </w:p>
          <w:p>
            <w:pPr>
              <w:spacing w:before="40"/>
            </w:pPr>
            <w:r>
              <w:rPr>
                <w:rFonts w:ascii="Arial" w:cs="Arial" w:eastAsia="Arial" w:hAnsi="Arial"/>
                <w:i/>
                <w:iCs/>
                <w:color w:val="BDD7EE"/>
                <w:sz w:val="19"/>
                <w:szCs w:val="19"/>
              </w:rPr>
              <w:t xml:space="preserve">Converting a one-off patient into a recurring relationship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just had her first toxin treatment and loved it. The provider wants to convert her to a membership.</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Using A360's selling_memberships education, the provider frames membership as the smart way to maintain results — predictable cost, priority booking, never letting the lines fully return. The value logic is patient-centered, not pushy.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Commercial dossier (selling_memberships) — </w:t>
            </w:r>
            <w:r>
              <w:rPr>
                <w:rFonts w:ascii="Arial" w:cs="Arial" w:eastAsia="Arial" w:hAnsi="Arial"/>
                <w:color w:val="1A1A2E"/>
                <w:sz w:val="20"/>
                <w:szCs w:val="20"/>
              </w:rPr>
              <w:t xml:space="preserve">the value logic, framing scripts, and objection handling for membership</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(maintenance_story) — </w:t>
            </w:r>
            <w:r>
              <w:rPr>
                <w:rFonts w:ascii="Arial" w:cs="Arial" w:eastAsia="Arial" w:hAnsi="Arial"/>
                <w:color w:val="1A1A2E"/>
                <w:sz w:val="20"/>
                <w:szCs w:val="20"/>
              </w:rPr>
              <w:t xml:space="preserve">why ongoing care produces better results than sporadic visits</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agent_pricing — </w:t>
            </w:r>
            <w:r>
              <w:rPr>
                <w:rFonts w:ascii="Arial" w:cs="Arial" w:eastAsia="Arial" w:hAnsi="Arial"/>
                <w:color w:val="1A1A2E"/>
                <w:sz w:val="20"/>
                <w:szCs w:val="20"/>
              </w:rPr>
              <w:t xml:space="preserve">the membership-vs-à-la-carte math, resolved at runtime per practice</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Pure crafted education — membership value is a selling narrative, not a clinical claim. No citations; this is persuasion grounded in the genuine benefit of consistent care.</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12  </w:t>
            </w:r>
            <w:r>
              <w:rPr>
                <w:rFonts w:ascii="Arial" w:cs="Arial" w:eastAsia="Arial" w:hAnsi="Arial"/>
                <w:b/>
                <w:bCs/>
                <w:color w:val="FFFFFF"/>
                <w:sz w:val="24"/>
                <w:szCs w:val="24"/>
              </w:rPr>
              <w:t xml:space="preserve">The Pregnant / Breastfeeding Patient</w:t>
            </w:r>
          </w:p>
          <w:p>
            <w:pPr>
              <w:spacing w:before="40"/>
            </w:pPr>
            <w:r>
              <w:rPr>
                <w:rFonts w:ascii="Arial" w:cs="Arial" w:eastAsia="Arial" w:hAnsi="Arial"/>
                <w:i/>
                <w:iCs/>
                <w:color w:val="BDD7EE"/>
                <w:sz w:val="19"/>
                <w:szCs w:val="19"/>
              </w:rPr>
              <w:t xml:space="preserve">The safety floor stopping a sale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wants Botox but mentions she's still breastfeeding.</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A360's safety floor surfaces the contraindication plainly and authoritatively — this is the one place the system asserts rather than characterizes. The provider declines appropriately, explains why with the FDA-cited caution, and the provider_deferred is captured as a trust-building moment, not a lost sale. A360 suggests safe alternatives to keep her engaged.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(safety floor) — </w:t>
            </w:r>
            <w:r>
              <w:rPr>
                <w:rFonts w:ascii="Arial" w:cs="Arial" w:eastAsia="Arial" w:hAnsi="Arial"/>
                <w:color w:val="1A1A2E"/>
                <w:sz w:val="20"/>
                <w:szCs w:val="20"/>
              </w:rPr>
              <w:t xml:space="preserve">the authoritative, FDA-cited contraindication — asserted, not hedged</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compliance_rules — </w:t>
            </w:r>
            <w:r>
              <w:rPr>
                <w:rFonts w:ascii="Arial" w:cs="Arial" w:eastAsia="Arial" w:hAnsi="Arial"/>
                <w:color w:val="1A1A2E"/>
                <w:sz w:val="20"/>
                <w:szCs w:val="20"/>
              </w:rPr>
              <w:t xml:space="preserve">the practice-level safety gate that prevents the booking</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 </w:t>
            </w:r>
            <w:r>
              <w:rPr>
                <w:rFonts w:ascii="Arial" w:cs="Arial" w:eastAsia="Arial" w:hAnsi="Arial"/>
                <w:color w:val="1A1A2E"/>
                <w:sz w:val="20"/>
                <w:szCs w:val="20"/>
              </w:rPr>
              <w:t xml:space="preserve">safe alternative treatments to offer so she stays engaged for later</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Fully cited and authoritative — the safety floor is non-negotiable. This is the deliberate exception to the gateway posture: when the answer is "this could cause harm," A360 asserts and cites, it does not characterize.</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13  </w:t>
            </w:r>
            <w:r>
              <w:rPr>
                <w:rFonts w:ascii="Arial" w:cs="Arial" w:eastAsia="Arial" w:hAnsi="Arial"/>
                <w:b/>
                <w:bCs/>
                <w:color w:val="FFFFFF"/>
                <w:sz w:val="24"/>
                <w:szCs w:val="24"/>
              </w:rPr>
              <w:t xml:space="preserve">The Under-Eye Hollows Consult</w:t>
            </w:r>
          </w:p>
          <w:p>
            <w:pPr>
              <w:spacing w:before="40"/>
            </w:pPr>
            <w:r>
              <w:rPr>
                <w:rFonts w:ascii="Arial" w:cs="Arial" w:eastAsia="Arial" w:hAnsi="Arial"/>
                <w:i/>
                <w:iCs/>
                <w:color w:val="BDD7EE"/>
                <w:sz w:val="19"/>
                <w:szCs w:val="19"/>
              </w:rPr>
              <w:t xml:space="preserve">Matching the right product to delicate anatomy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is bothered by dark under-eye hollows. This is a high-risk area and the wrong product or plane causes problems.</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uses A360's anatomy and product education to explain why a specific thin HA product is right for this delicate area, why technique matters, and what realistic results look like. The patient understands she's paying for precision in a difficult zone.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Anatomy dossier (periorbital, clinical + sales lens) — </w:t>
            </w:r>
            <w:r>
              <w:rPr>
                <w:rFonts w:ascii="Arial" w:cs="Arial" w:eastAsia="Arial" w:hAnsi="Arial"/>
                <w:color w:val="1A1A2E"/>
                <w:sz w:val="20"/>
                <w:szCs w:val="20"/>
              </w:rPr>
              <w:t xml:space="preserve">the regional explanation and the "why this area needs expertise" value framing</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global_avoidance_guidance — </w:t>
            </w:r>
            <w:r>
              <w:rPr>
                <w:rFonts w:ascii="Arial" w:cs="Arial" w:eastAsia="Arial" w:hAnsi="Arial"/>
                <w:color w:val="1A1A2E"/>
                <w:sz w:val="20"/>
                <w:szCs w:val="20"/>
              </w:rPr>
              <w:t xml:space="preserve">the safety cautions for the under-eye region (clinical floor)</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 </w:t>
            </w:r>
            <w:r>
              <w:rPr>
                <w:rFonts w:ascii="Arial" w:cs="Arial" w:eastAsia="Arial" w:hAnsi="Arial"/>
                <w:color w:val="1A1A2E"/>
                <w:sz w:val="20"/>
                <w:szCs w:val="20"/>
              </w:rPr>
              <w:t xml:space="preserve">the appropriate product match for this anatomy</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Blended. The value framing ("you're paying for precision in a tricky area") is crafted education; the safety cautions for the periorbital region come from the curated clinical floor with citation backing.</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14  </w:t>
            </w:r>
            <w:r>
              <w:rPr>
                <w:rFonts w:ascii="Arial" w:cs="Arial" w:eastAsia="Arial" w:hAnsi="Arial"/>
                <w:b/>
                <w:bCs/>
                <w:color w:val="FFFFFF"/>
                <w:sz w:val="24"/>
                <w:szCs w:val="24"/>
              </w:rPr>
              <w:t xml:space="preserve">The Acne-Scarring Younger Patient</w:t>
            </w:r>
          </w:p>
          <w:p>
            <w:pPr>
              <w:spacing w:before="40"/>
            </w:pPr>
            <w:r>
              <w:rPr>
                <w:rFonts w:ascii="Arial" w:cs="Arial" w:eastAsia="Arial" w:hAnsi="Arial"/>
                <w:i/>
                <w:iCs/>
                <w:color w:val="BDD7EE"/>
                <w:sz w:val="19"/>
                <w:szCs w:val="19"/>
              </w:rPr>
              <w:t xml:space="preserve">Building a multi-session plan with honest expectations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24-year-old with acne scarring wants it "gone." The provider needs to set realistic expectations while still selling a real solution.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A360's education helps the provider explain that scarring improves progressively over a series, not overnight — framing the multi-session plan as the honest path to real improvement. Honest expectation-setting, well-worded, actually increases conversion because the patient trusts the provider.</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Concern dossier (texture/scarring, sales_education) — </w:t>
            </w:r>
            <w:r>
              <w:rPr>
                <w:rFonts w:ascii="Arial" w:cs="Arial" w:eastAsia="Arial" w:hAnsi="Arial"/>
                <w:color w:val="1A1A2E"/>
                <w:sz w:val="20"/>
                <w:szCs w:val="20"/>
              </w:rPr>
              <w:t xml:space="preserve">the expectation_setting and multi-session value narrative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services table — </w:t>
            </w:r>
            <w:r>
              <w:rPr>
                <w:rFonts w:ascii="Arial" w:cs="Arial" w:eastAsia="Arial" w:hAnsi="Arial"/>
                <w:color w:val="1A1A2E"/>
                <w:sz w:val="20"/>
                <w:szCs w:val="20"/>
              </w:rPr>
              <w:t xml:space="preserve">recommended_sessions and results intervals for the honest timeline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PubMed — </w:t>
            </w:r>
            <w:r>
              <w:rPr>
                <w:rFonts w:ascii="Arial" w:cs="Arial" w:eastAsia="Arial" w:hAnsi="Arial"/>
                <w:color w:val="1A1A2E"/>
                <w:sz w:val="20"/>
                <w:szCs w:val="20"/>
              </w:rPr>
              <w:t xml:space="preserve">resurfacing efficacy literature available as citation for a research-minded young patient</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Blended. The expectation-setting story is crafted; the efficacy of the modality has PubMed support available as a citation for a patient who wants evidence before committing to a series.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15  </w:t>
            </w:r>
            <w:r>
              <w:rPr>
                <w:rFonts w:ascii="Arial" w:cs="Arial" w:eastAsia="Arial" w:hAnsi="Arial"/>
                <w:b/>
                <w:bCs/>
                <w:color w:val="FFFFFF"/>
                <w:sz w:val="24"/>
                <w:szCs w:val="24"/>
              </w:rPr>
              <w:t xml:space="preserve">The Weight-Loss / GLP-1 Inquiry</w:t>
            </w:r>
          </w:p>
          <w:p>
            <w:pPr>
              <w:spacing w:before="40"/>
            </w:pPr>
            <w:r>
              <w:rPr>
                <w:rFonts w:ascii="Arial" w:cs="Arial" w:eastAsia="Arial" w:hAnsi="Arial"/>
                <w:i/>
                <w:iCs/>
                <w:color w:val="BDD7EE"/>
                <w:sz w:val="19"/>
                <w:szCs w:val="19"/>
              </w:rPr>
              <w:t xml:space="preserve">Handling a high-demand, high-scrutiny category carefully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asks about semaglutide for weight loss. This is a category with heavy regulatory attention and real safety nuance.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 surfaces the patient-education explanation of how GLP-1s work alongside the curated safety floor — contraindications and cautions stated authoritatively. The provider educates honestly and screens appropriately, with the regulatory framing built in so claims stay defensible.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(patient_explainer) — </w:t>
            </w:r>
            <w:r>
              <w:rPr>
                <w:rFonts w:ascii="Arial" w:cs="Arial" w:eastAsia="Arial" w:hAnsi="Arial"/>
                <w:color w:val="1A1A2E"/>
                <w:sz w:val="20"/>
                <w:szCs w:val="20"/>
              </w:rPr>
              <w:t xml:space="preserve">the accessible "how GLP-1s work" explanation</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(safety floor) — </w:t>
            </w:r>
            <w:r>
              <w:rPr>
                <w:rFonts w:ascii="Arial" w:cs="Arial" w:eastAsia="Arial" w:hAnsi="Arial"/>
                <w:color w:val="1A1A2E"/>
                <w:sz w:val="20"/>
                <w:szCs w:val="20"/>
              </w:rPr>
              <w:t xml:space="preserve">authoritative contraindications and cautions for this high-scrutiny category</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compliance_rules + state_regulatory_profiles — </w:t>
            </w:r>
            <w:r>
              <w:rPr>
                <w:rFonts w:ascii="Arial" w:cs="Arial" w:eastAsia="Arial" w:hAnsi="Arial"/>
                <w:color w:val="1A1A2E"/>
                <w:sz w:val="20"/>
                <w:szCs w:val="20"/>
              </w:rPr>
              <w:t xml:space="preserve">the regulatory gating appropriate to the patient's location</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Heavily cited on safety and regulatory points — this category demands it. The mechanism explanation is crafted education; everything touching safety, eligibility, and compounding is asserted from authoritative, cited sources.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16  </w:t>
            </w:r>
            <w:r>
              <w:rPr>
                <w:rFonts w:ascii="Arial" w:cs="Arial" w:eastAsia="Arial" w:hAnsi="Arial"/>
                <w:b/>
                <w:bCs/>
                <w:color w:val="FFFFFF"/>
                <w:sz w:val="24"/>
                <w:szCs w:val="24"/>
              </w:rPr>
              <w:t xml:space="preserve">The "What Would You Do?" Patient</w:t>
            </w:r>
          </w:p>
          <w:p>
            <w:pPr>
              <w:spacing w:before="40"/>
            </w:pPr>
            <w:r>
              <w:rPr>
                <w:rFonts w:ascii="Arial" w:cs="Arial" w:eastAsia="Arial" w:hAnsi="Arial"/>
                <w:i/>
                <w:iCs/>
                <w:color w:val="BDD7EE"/>
                <w:sz w:val="19"/>
                <w:szCs w:val="19"/>
              </w:rPr>
              <w:t xml:space="preserve">Provider-guided whole-face planning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trusts the provider completely and asks "just tell me what you'd do." The provider wants to present an aspirational but honest full-face plan.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 helps the provider build a Good / Better / Best plan that addresses the face as a whole — sequenced, balanced, with each piece explained in terms of the harmony it creates. The patient sees a vision, not a menu.</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Clinical-planning dossier (the aging face, aesthetic balance) — </w:t>
            </w:r>
            <w:r>
              <w:rPr>
                <w:rFonts w:ascii="Arial" w:cs="Arial" w:eastAsia="Arial" w:hAnsi="Arial"/>
                <w:color w:val="1A1A2E"/>
                <w:sz w:val="20"/>
                <w:szCs w:val="20"/>
              </w:rPr>
              <w:t xml:space="preserve">the whole-face reasoning translated into a patient vision</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 </w:t>
            </w:r>
            <w:r>
              <w:rPr>
                <w:rFonts w:ascii="Arial" w:cs="Arial" w:eastAsia="Arial" w:hAnsi="Arial"/>
                <w:color w:val="1A1A2E"/>
                <w:sz w:val="20"/>
                <w:szCs w:val="20"/>
              </w:rPr>
              <w:t xml:space="preserve">approved combinations and sequencing for a staged plan</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(combination_therapy + cost_benefit) — </w:t>
            </w:r>
            <w:r>
              <w:rPr>
                <w:rFonts w:ascii="Arial" w:cs="Arial" w:eastAsia="Arial" w:hAnsi="Arial"/>
                <w:color w:val="1A1A2E"/>
                <w:sz w:val="20"/>
                <w:szCs w:val="20"/>
              </w:rPr>
              <w:t xml:space="preserve">the harmony narrative and the value of a planned approach over piecemeal</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crafted education — whole-face planning is a vision sold through beautiful, accurate explanation of balance and sequence. Safety elements within the plan carry citations; the vision itself is persuasive craft.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17  </w:t>
            </w:r>
            <w:r>
              <w:rPr>
                <w:rFonts w:ascii="Arial" w:cs="Arial" w:eastAsia="Arial" w:hAnsi="Arial"/>
                <w:b/>
                <w:bCs/>
                <w:color w:val="FFFFFF"/>
                <w:sz w:val="24"/>
                <w:szCs w:val="24"/>
              </w:rPr>
              <w:t xml:space="preserve">The Bruising-Worried Professional</w:t>
            </w:r>
          </w:p>
          <w:p>
            <w:pPr>
              <w:spacing w:before="40"/>
            </w:pPr>
            <w:r>
              <w:rPr>
                <w:rFonts w:ascii="Arial" w:cs="Arial" w:eastAsia="Arial" w:hAnsi="Arial"/>
                <w:i/>
                <w:iCs/>
                <w:color w:val="BDD7EE"/>
                <w:sz w:val="19"/>
                <w:szCs w:val="19"/>
              </w:rPr>
              <w:t xml:space="preserve">Pre-empting an objection with honest education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with a public-facing job is interested but terrified of visible bruising before an important week.</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The provider uses A360's education to honestly characterize bruising likelihood and recovery, and to plan timing around her schedule. Honest, well-worded risk education — paired with a smart timeline — converts a fearful patient into a confident one.</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(objection_reframes) — </w:t>
            </w:r>
            <w:r>
              <w:rPr>
                <w:rFonts w:ascii="Arial" w:cs="Arial" w:eastAsia="Arial" w:hAnsi="Arial"/>
                <w:color w:val="1A1A2E"/>
                <w:sz w:val="20"/>
                <w:szCs w:val="20"/>
              </w:rPr>
              <w:t xml:space="preserve">the honest bruising-and-downtime reframe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products/services tables — </w:t>
            </w:r>
            <w:r>
              <w:rPr>
                <w:rFonts w:ascii="Arial" w:cs="Arial" w:eastAsia="Arial" w:hAnsi="Arial"/>
                <w:color w:val="1A1A2E"/>
                <w:sz w:val="20"/>
                <w:szCs w:val="20"/>
              </w:rPr>
              <w:t xml:space="preserve">recovery intervals to plan around her important week</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(gateway) — </w:t>
            </w:r>
            <w:r>
              <w:rPr>
                <w:rFonts w:ascii="Arial" w:cs="Arial" w:eastAsia="Arial" w:hAnsi="Arial"/>
                <w:color w:val="1A1A2E"/>
                <w:sz w:val="20"/>
                <w:szCs w:val="20"/>
              </w:rPr>
              <w:t xml:space="preserve">side-effect likelihood characterized honestly, with source pointer for specifics</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Crafted education with a gateway posture on specifics — bruising likelihood is characterized honestly rather than asserted with false precision, and the patient can be pointed to the source if she wants the detailed safety profile.</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18  </w:t>
            </w:r>
            <w:r>
              <w:rPr>
                <w:rFonts w:ascii="Arial" w:cs="Arial" w:eastAsia="Arial" w:hAnsi="Arial"/>
                <w:b/>
                <w:bCs/>
                <w:color w:val="FFFFFF"/>
                <w:sz w:val="24"/>
                <w:szCs w:val="24"/>
              </w:rPr>
              <w:t xml:space="preserve">The Comparison Shopper</w:t>
            </w:r>
          </w:p>
          <w:p>
            <w:pPr>
              <w:spacing w:before="40"/>
            </w:pPr>
            <w:r>
              <w:rPr>
                <w:rFonts w:ascii="Arial" w:cs="Arial" w:eastAsia="Arial" w:hAnsi="Arial"/>
                <w:i/>
                <w:iCs/>
                <w:color w:val="BDD7EE"/>
                <w:sz w:val="19"/>
                <w:szCs w:val="19"/>
              </w:rPr>
              <w:t xml:space="preserve">Winning on trust when the patient is price-checking competitors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mentions she got a cheaper quote elsewhere and is deciding where to go.</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Rather than competing on price, the provider uses A360's education to make the value visible — product quality, injector skill, the cost of correcting bad work, the longevity of a result done right. The cost_benefit education arms the provider to win on value and trust.</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(cost_benefit) — </w:t>
            </w:r>
            <w:r>
              <w:rPr>
                <w:rFonts w:ascii="Arial" w:cs="Arial" w:eastAsia="Arial" w:hAnsi="Arial"/>
                <w:color w:val="1A1A2E"/>
                <w:sz w:val="20"/>
                <w:szCs w:val="20"/>
              </w:rPr>
              <w:t xml:space="preserve">the "what you're really paying for" and "cost of cheap work" framing</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deep_product lens — </w:t>
            </w:r>
            <w:r>
              <w:rPr>
                <w:rFonts w:ascii="Arial" w:cs="Arial" w:eastAsia="Arial" w:hAnsi="Arial"/>
                <w:color w:val="1A1A2E"/>
                <w:sz w:val="20"/>
                <w:szCs w:val="20"/>
              </w:rPr>
              <w:t xml:space="preserve">why premium product and technique justify the difference</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FDA label — </w:t>
            </w:r>
            <w:r>
              <w:rPr>
                <w:rFonts w:ascii="Arial" w:cs="Arial" w:eastAsia="Arial" w:hAnsi="Arial"/>
                <w:color w:val="1A1A2E"/>
                <w:sz w:val="20"/>
                <w:szCs w:val="20"/>
              </w:rPr>
              <w:t xml:space="preserve">the tap-to-verify authenticity moment a discount provider can't replicate</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crafted value education, with the clickable FDA citation as a differentiator — being able to show the patient the actual source is a trust signal a price-cutting competitor typically can't match.</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19  </w:t>
            </w:r>
            <w:r>
              <w:rPr>
                <w:rFonts w:ascii="Arial" w:cs="Arial" w:eastAsia="Arial" w:hAnsi="Arial"/>
                <w:b/>
                <w:bCs/>
                <w:color w:val="FFFFFF"/>
                <w:sz w:val="24"/>
                <w:szCs w:val="24"/>
              </w:rPr>
              <w:t xml:space="preserve">The Combination Sequencing Question</w:t>
            </w:r>
          </w:p>
          <w:p>
            <w:pPr>
              <w:spacing w:before="40"/>
            </w:pPr>
            <w:r>
              <w:rPr>
                <w:rFonts w:ascii="Arial" w:cs="Arial" w:eastAsia="Arial" w:hAnsi="Arial"/>
                <w:i/>
                <w:iCs/>
                <w:color w:val="BDD7EE"/>
                <w:sz w:val="19"/>
                <w:szCs w:val="19"/>
              </w:rPr>
              <w:t xml:space="preserve">Answering a clinically nuanced question with cited backup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savvy patient asks whether she can do her filler and a laser treatment in the same visit, or whether they need to be spaced.</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 surfaces the combination education — same-session vs staged guidance, sequencing, and the reasoning — and where sources differ, it presents both positions honestly. For a clinically precise question, the provider can tap through to the consensus literature backing the recommendation.</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(timing_guidance, same_session_ok) — </w:t>
            </w:r>
            <w:r>
              <w:rPr>
                <w:rFonts w:ascii="Arial" w:cs="Arial" w:eastAsia="Arial" w:hAnsi="Arial"/>
                <w:color w:val="1A1A2E"/>
                <w:sz w:val="20"/>
                <w:szCs w:val="20"/>
              </w:rPr>
              <w:t xml:space="preserve">the structured sequencing answer</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(combination_sequencing) — </w:t>
            </w:r>
            <w:r>
              <w:rPr>
                <w:rFonts w:ascii="Arial" w:cs="Arial" w:eastAsia="Arial" w:hAnsi="Arial"/>
                <w:color w:val="1A1A2E"/>
                <w:sz w:val="20"/>
                <w:szCs w:val="20"/>
              </w:rPr>
              <w:t xml:space="preserve">the characterized guidance, presenting conflicting positions where they exist</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evidence_links → PubMed (consensus papers) — </w:t>
            </w:r>
            <w:r>
              <w:rPr>
                <w:rFonts w:ascii="Arial" w:cs="Arial" w:eastAsia="Arial" w:hAnsi="Arial"/>
                <w:color w:val="1A1A2E"/>
                <w:sz w:val="20"/>
                <w:szCs w:val="20"/>
              </w:rPr>
              <w:t xml:space="preserve">the society-consensus citation backing the sequencing recommendation</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Well-cited — this is a clinically precise question, so the consensus literature is surfaced as a citation. Where authoritative sources disagree, A360 presents both positions rather than inventing a single false answer.</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30"/>
              <w:left w:type="dxa" w:w="200"/>
              <w:bottom w:type="dxa" w:w="130"/>
              <w:right w:type="dxa" w:w="200"/>
            </w:tcMar>
          </w:tcPr>
          <w:p>
            <w:r>
              <w:rPr>
                <w:rFonts w:ascii="Arial" w:cs="Arial" w:eastAsia="Arial" w:hAnsi="Arial"/>
                <w:b/>
                <w:bCs/>
                <w:color w:val="8FBBE0"/>
                <w:sz w:val="20"/>
                <w:szCs w:val="20"/>
              </w:rPr>
              <w:t xml:space="preserve">SCENARIO 20  </w:t>
            </w:r>
            <w:r>
              <w:rPr>
                <w:rFonts w:ascii="Arial" w:cs="Arial" w:eastAsia="Arial" w:hAnsi="Arial"/>
                <w:b/>
                <w:bCs/>
                <w:color w:val="FFFFFF"/>
                <w:sz w:val="24"/>
                <w:szCs w:val="24"/>
              </w:rPr>
              <w:t xml:space="preserve">The Post-Treatment Education Follow-Up</w:t>
            </w:r>
          </w:p>
          <w:p>
            <w:pPr>
              <w:spacing w:before="40"/>
            </w:pPr>
            <w:r>
              <w:rPr>
                <w:rFonts w:ascii="Arial" w:cs="Arial" w:eastAsia="Arial" w:hAnsi="Arial"/>
                <w:i/>
                <w:iCs/>
                <w:color w:val="BDD7EE"/>
                <w:sz w:val="19"/>
                <w:szCs w:val="19"/>
              </w:rPr>
              <w:t xml:space="preserve">Closing the loop and seeding the next visit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20"/>
            </w:tcMar>
            <w:vAlign w:val="top"/>
          </w:tcPr>
          <w:p>
            <w:r>
              <w:rPr>
                <w:rFonts w:ascii="Arial" w:cs="Arial" w:eastAsia="Arial" w:hAnsi="Arial"/>
                <w:b/>
                <w:bCs/>
                <w:color w:val="1B3A6B"/>
                <w:sz w:val="18"/>
                <w:szCs w:val="18"/>
              </w:rPr>
              <w:t xml:space="preserve">THE SITUATION</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 patient just had her treatment. The provider wants aftercare to land well and the next opportunity to be planted naturally.</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WHAT THE PROVIDER DOES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20"/>
                <w:szCs w:val="20"/>
              </w:rPr>
              <w:t xml:space="preserve">A360 generates aftercare education in the practice's voice and naturally references the maintenance story and the logical next step in her plan — so the follow-up cares for her now and gently opens the door to what's next, without feeling like a pitch.</w:t>
            </w:r>
          </w:p>
        </w:tc>
      </w:tr>
      <w:tr>
        <w:tc>
          <w:tcPr>
            <w:tcW w:type="dxa" w:w="1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vAlign w:val="top"/>
          </w:tcPr>
          <w:p>
            <w:r>
              <w:rPr>
                <w:rFonts w:ascii="Arial" w:cs="Arial" w:eastAsia="Arial" w:hAnsi="Arial"/>
                <w:b/>
                <w:bCs/>
                <w:color w:val="1B3A6B"/>
                <w:sz w:val="18"/>
                <w:szCs w:val="18"/>
              </w:rPr>
              <w:t xml:space="preserve">DATA A360 USES</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sales_education (patient_explainer + maintenance_story) — </w:t>
            </w:r>
            <w:r>
              <w:rPr>
                <w:rFonts w:ascii="Arial" w:cs="Arial" w:eastAsia="Arial" w:hAnsi="Arial"/>
                <w:color w:val="1A1A2E"/>
                <w:sz w:val="20"/>
                <w:szCs w:val="20"/>
              </w:rPr>
              <w:t xml:space="preserve">warm aftercare guidance and the natural next-step framing</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item_relationships — </w:t>
            </w:r>
            <w:r>
              <w:rPr>
                <w:rFonts w:ascii="Arial" w:cs="Arial" w:eastAsia="Arial" w:hAnsi="Arial"/>
                <w:color w:val="1A1A2E"/>
                <w:sz w:val="20"/>
                <w:szCs w:val="20"/>
              </w:rPr>
              <w:t xml:space="preserve">the logical complementary next treatment in her plan</w:t>
            </w:r>
          </w:p>
          <w:p>
            <w:pPr>
              <w:spacing w:after="30" w:before="30"/>
            </w:pPr>
            <w:r>
              <w:rPr>
                <w:rFonts w:ascii="Arial" w:cs="Arial" w:eastAsia="Arial" w:hAnsi="Arial"/>
                <w:b/>
                <w:bCs/>
                <w:color w:val="0E7C7B"/>
                <w:sz w:val="20"/>
                <w:szCs w:val="20"/>
              </w:rPr>
              <w:t xml:space="preserve">▸ </w:t>
            </w:r>
            <w:r>
              <w:rPr>
                <w:rFonts w:ascii="Arial" w:cs="Arial" w:eastAsia="Arial" w:hAnsi="Arial"/>
                <w:b/>
                <w:bCs/>
                <w:color w:val="2E6DAD"/>
                <w:sz w:val="20"/>
                <w:szCs w:val="20"/>
              </w:rPr>
              <w:t xml:space="preserve">Clinical lens (safety floor) — </w:t>
            </w:r>
            <w:r>
              <w:rPr>
                <w:rFonts w:ascii="Arial" w:cs="Arial" w:eastAsia="Arial" w:hAnsi="Arial"/>
                <w:color w:val="1A1A2E"/>
                <w:sz w:val="20"/>
                <w:szCs w:val="20"/>
              </w:rPr>
              <w:t xml:space="preserve">any genuine aftercare cautions, stated plainly</w:t>
            </w:r>
          </w:p>
        </w:tc>
      </w:tr>
      <w:tr>
        <w:tc>
          <w:tcPr>
            <w:tcW w:type="dxa" w:w="1700"/>
            <w:tcBorders>
              <w:top w:val="single" w:color="CCCCCC" w:sz="1"/>
              <w:left w:val="single" w:color="CCCCCC" w:sz="1"/>
              <w:bottom w:val="single" w:color="CCCCCC" w:sz="1"/>
              <w:right w:val="single" w:color="CCCCCC" w:sz="1"/>
            </w:tcBorders>
            <w:shd w:fill="DCE9F5" w:val="clear"/>
            <w:tcMar>
              <w:top w:type="dxa" w:w="100"/>
              <w:left w:type="dxa" w:w="140"/>
              <w:bottom w:type="dxa" w:w="100"/>
              <w:right w:type="dxa" w:w="120"/>
            </w:tcMar>
            <w:vAlign w:val="top"/>
          </w:tcPr>
          <w:p>
            <w:r>
              <w:rPr>
                <w:rFonts w:ascii="Arial" w:cs="Arial" w:eastAsia="Arial" w:hAnsi="Arial"/>
                <w:b/>
                <w:bCs/>
                <w:color w:val="1B3A6B"/>
                <w:sz w:val="18"/>
                <w:szCs w:val="18"/>
              </w:rPr>
              <w:t xml:space="preserve">CITATION POSTURE</w:t>
            </w:r>
          </w:p>
        </w:tc>
        <w:tc>
          <w:tcPr>
            <w:tcW w:type="dxa" w:w="76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i/>
                <w:iCs/>
                <w:color w:val="1A1A2E"/>
                <w:sz w:val="19"/>
                <w:szCs w:val="19"/>
              </w:rPr>
              <w:t xml:space="preserve">Mostly crafted education — aftercare and next-step framing are voice-and-trust work. Genuine safety cautions in aftercare carry authoritative backing; the rest is warm, well-worded patient care.</w:t>
            </w:r>
          </w:p>
        </w:tc>
      </w:tr>
    </w:tbl>
    <w:p>
      <w:pPr>
        <w:spacing w:after="0" w:before="180"/>
      </w:pPr>
      <w:r>
        <w:t xml:space="preserve"/>
      </w:r>
    </w:p>
    <w:p>
      <w:pPr>
        <w:pStyle w:val="Heading1"/>
        <w:pBdr>
          <w:bottom w:val="single" w:color="1B3A6B" w:sz="6" w:space="6"/>
        </w:pBdr>
        <w:spacing w:after="140" w:before="320"/>
      </w:pPr>
      <w:r>
        <w:rPr>
          <w:rFonts w:ascii="Arial" w:cs="Arial" w:eastAsia="Arial" w:hAnsi="Arial"/>
          <w:b/>
          <w:bCs/>
          <w:color w:val="1B3A6B"/>
          <w:sz w:val="30"/>
          <w:szCs w:val="30"/>
        </w:rPr>
        <w:t xml:space="preserve">The Through-Line</w:t>
      </w:r>
    </w:p>
    <w:p>
      <w:pPr>
        <w:spacing w:after="70" w:before="70"/>
      </w:pPr>
      <w:r>
        <w:rPr>
          <w:rFonts w:ascii="Arial" w:cs="Arial" w:eastAsia="Arial" w:hAnsi="Arial"/>
          <w:b w:val="false"/>
          <w:bCs w:val="false"/>
          <w:color w:val="1A1A2E"/>
          <w:sz w:val="21"/>
          <w:szCs w:val="21"/>
        </w:rPr>
        <w:t xml:space="preserve">Across all twenty scenarios, the pattern is consistent: A360 cites the safety and the science, and crafts the story. Contraindications, regulatory limits, and "this can cause harm" moments are asserted from authoritative, clickable sources — that is the trust spine. Everything else — how a treatment brings a face into balance, what a patient is really paying for, why a combination works as one plan — is robust, beautifully-worded education compiled from many sources, designed to help the provider sell by helping the patient understand.</w:t>
      </w:r>
    </w:p>
    <w:p>
      <w:pPr>
        <w:spacing w:after="0" w:before="60"/>
      </w:pPr>
      <w:r>
        <w:t xml:space="preserve"/>
      </w:r>
    </w:p>
    <w:p>
      <w:pPr>
        <w:spacing w:after="70" w:before="70"/>
      </w:pPr>
      <w:r>
        <w:rPr>
          <w:rFonts w:ascii="Arial" w:cs="Arial" w:eastAsia="Arial" w:hAnsi="Arial"/>
          <w:b/>
          <w:bCs/>
          <w:color w:val="1B3A6B"/>
          <w:sz w:val="21"/>
          <w:szCs w:val="21"/>
        </w:rPr>
        <w:t xml:space="preserve">That is the whole strategy in one line: we cite what must be proven, we craft what must be felt, and both are built from the same curated Global Library.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Aesthetics360 — Global Library Use Cases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2026-06-12T19:01:03.971Z</dcterms:created>
  <dcterms:modified xsi:type="dcterms:W3CDTF">2026-06-12T19:01:03.988Z</dcterms:modified>
</cp:coreProperties>
</file>

<file path=docProps/custom.xml><?xml version="1.0" encoding="utf-8"?>
<Properties xmlns="http://schemas.openxmlformats.org/officeDocument/2006/custom-properties" xmlns:vt="http://schemas.openxmlformats.org/officeDocument/2006/docPropsVTypes"/>
</file>