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f3b744e373249264db9ef3f25e15e6bc9b5e55"/>
    <w:p>
      <w:pPr>
        <w:pStyle w:val="Heading1"/>
      </w:pPr>
      <w:r>
        <w:t xml:space="preserve">Phase 7 Implementation Brief: Timing Rules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Implement Phase 7 as the</w:t>
      </w:r>
      <w:r>
        <w:t xml:space="preserve"> </w:t>
      </w:r>
      <w:r>
        <w:rPr>
          <w:b/>
          <w:bCs/>
        </w:rPr>
        <w:t xml:space="preserve">Timing Rules</w:t>
      </w:r>
      <w:r>
        <w:t xml:space="preserve"> </w:t>
      </w:r>
      <w:r>
        <w:t xml:space="preserve">layer of the A360 intelligence system.</w:t>
      </w:r>
    </w:p>
    <w:p>
      <w:pPr>
        <w:pStyle w:val="BodyText"/>
      </w:pPr>
      <w:r>
        <w:t xml:space="preserve">This phase converts timing, cadence, same-session, sequencing, downtime, and safety-critical timing guidance into structured data that agents and future care-plan modules can use.</w:t>
      </w:r>
    </w:p>
    <w:p>
      <w:pPr>
        <w:pStyle w:val="BodyText"/>
      </w:pPr>
      <w:r>
        <w:t xml:space="preserve">Phase 7 should not become a full care-plan engine. Its job is to create the timing foundation that later phases can use.</w:t>
      </w:r>
    </w:p>
    <w:bookmarkEnd w:id="20"/>
    <w:bookmarkStart w:id="21" w:name="core-principle"/>
    <w:p>
      <w:pPr>
        <w:pStyle w:val="Heading2"/>
      </w:pPr>
      <w:r>
        <w:t xml:space="preserve">Core Principle</w:t>
      </w:r>
    </w:p>
    <w:p>
      <w:pPr>
        <w:pStyle w:val="FirstParagraph"/>
      </w:pPr>
      <w:r>
        <w:t xml:space="preserve">A360 should treat timing as two related but separate intelligence layers: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Product-level timing</w:t>
      </w:r>
    </w:p>
    <w:p>
      <w:pPr>
        <w:pStyle w:val="Compact"/>
        <w:numPr>
          <w:ilvl w:val="1"/>
          <w:numId w:val="1002"/>
        </w:numPr>
      </w:pPr>
      <w:r>
        <w:t xml:space="preserve">How often a product or treatment is typically performed</w:t>
      </w:r>
    </w:p>
    <w:p>
      <w:pPr>
        <w:pStyle w:val="Compact"/>
        <w:numPr>
          <w:ilvl w:val="1"/>
          <w:numId w:val="1002"/>
        </w:numPr>
      </w:pPr>
      <w:r>
        <w:t xml:space="preserve">Initial series structure</w:t>
      </w:r>
    </w:p>
    <w:p>
      <w:pPr>
        <w:pStyle w:val="Compact"/>
        <w:numPr>
          <w:ilvl w:val="1"/>
          <w:numId w:val="1002"/>
        </w:numPr>
      </w:pPr>
      <w:r>
        <w:t xml:space="preserve">Maintenance interval</w:t>
      </w:r>
    </w:p>
    <w:p>
      <w:pPr>
        <w:pStyle w:val="Compact"/>
        <w:numPr>
          <w:ilvl w:val="1"/>
          <w:numId w:val="1002"/>
        </w:numPr>
      </w:pPr>
      <w:r>
        <w:t xml:space="preserve">Minimum retreatment interval</w:t>
      </w:r>
    </w:p>
    <w:p>
      <w:pPr>
        <w:pStyle w:val="Compact"/>
        <w:numPr>
          <w:ilvl w:val="1"/>
          <w:numId w:val="1002"/>
        </w:numPr>
      </w:pPr>
      <w:r>
        <w:t xml:space="preserve">Typical follow-up timing</w:t>
      </w:r>
    </w:p>
    <w:p>
      <w:pPr>
        <w:pStyle w:val="Compact"/>
        <w:numPr>
          <w:ilvl w:val="1"/>
          <w:numId w:val="1002"/>
        </w:numPr>
      </w:pPr>
      <w:r>
        <w:t xml:space="preserve">Baseline downtime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Pair-level timing</w:t>
      </w:r>
    </w:p>
    <w:p>
      <w:pPr>
        <w:pStyle w:val="Compact"/>
        <w:numPr>
          <w:ilvl w:val="1"/>
          <w:numId w:val="1003"/>
        </w:numPr>
      </w:pPr>
      <w:r>
        <w:t xml:space="preserve">Whether two treatments can be performed same-session</w:t>
      </w:r>
    </w:p>
    <w:p>
      <w:pPr>
        <w:pStyle w:val="Compact"/>
        <w:numPr>
          <w:ilvl w:val="1"/>
          <w:numId w:val="1003"/>
        </w:numPr>
      </w:pPr>
      <w:r>
        <w:t xml:space="preserve">Whether staging is required</w:t>
      </w:r>
    </w:p>
    <w:p>
      <w:pPr>
        <w:pStyle w:val="Compact"/>
        <w:numPr>
          <w:ilvl w:val="1"/>
          <w:numId w:val="1003"/>
        </w:numPr>
      </w:pPr>
      <w:r>
        <w:t xml:space="preserve">Which treatment should come first</w:t>
      </w:r>
    </w:p>
    <w:p>
      <w:pPr>
        <w:pStyle w:val="Compact"/>
        <w:numPr>
          <w:ilvl w:val="1"/>
          <w:numId w:val="1003"/>
        </w:numPr>
      </w:pPr>
      <w:r>
        <w:t xml:space="preserve">Recommended spacing between treatments</w:t>
      </w:r>
    </w:p>
    <w:p>
      <w:pPr>
        <w:pStyle w:val="Compact"/>
        <w:numPr>
          <w:ilvl w:val="1"/>
          <w:numId w:val="1003"/>
        </w:numPr>
      </w:pPr>
      <w:r>
        <w:t xml:space="preserve">Combined downtime considerations</w:t>
      </w:r>
    </w:p>
    <w:p>
      <w:pPr>
        <w:pStyle w:val="Compact"/>
        <w:numPr>
          <w:ilvl w:val="1"/>
          <w:numId w:val="1003"/>
        </w:numPr>
      </w:pPr>
      <w:r>
        <w:t xml:space="preserve">Safety-critical timing warnings</w:t>
      </w:r>
    </w:p>
    <w:p>
      <w:pPr>
        <w:pStyle w:val="FirstParagraph"/>
      </w:pPr>
      <w:r>
        <w:t xml:space="preserve">The source of truth should remain structured A360 data plus approved clinical and evidence materials. Broader practice-informed intelligence may inform the synthesis, but it should not be exposed as a citation source in provider-facing, staff-facing, patient-facing, or runtime outputs.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non-exposure-rule-for-source-attribution"/>
    <w:p>
      <w:pPr>
        <w:pStyle w:val="Heading1"/>
      </w:pPr>
      <w:r>
        <w:t xml:space="preserve">Non-Exposure Rule for Source Attribution</w:t>
      </w:r>
    </w:p>
    <w:p>
      <w:pPr>
        <w:pStyle w:val="FirstParagraph"/>
      </w:pPr>
      <w:r>
        <w:t xml:space="preserve">Do not mention or cite non-owned expert media sources in any final A360 intelligence artifact.</w:t>
      </w:r>
    </w:p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004"/>
        </w:numPr>
      </w:pPr>
      <w:r>
        <w:t xml:space="preserve">agent fuel documents</w:t>
      </w:r>
    </w:p>
    <w:p>
      <w:pPr>
        <w:pStyle w:val="Compact"/>
        <w:numPr>
          <w:ilvl w:val="0"/>
          <w:numId w:val="1004"/>
        </w:numPr>
      </w:pPr>
      <w:r>
        <w:t xml:space="preserve">dossiers</w:t>
      </w:r>
    </w:p>
    <w:p>
      <w:pPr>
        <w:pStyle w:val="Compact"/>
        <w:numPr>
          <w:ilvl w:val="0"/>
          <w:numId w:val="1004"/>
        </w:numPr>
      </w:pPr>
      <w:r>
        <w:t xml:space="preserve">staff talking points</w:t>
      </w:r>
    </w:p>
    <w:p>
      <w:pPr>
        <w:pStyle w:val="Compact"/>
        <w:numPr>
          <w:ilvl w:val="0"/>
          <w:numId w:val="1004"/>
        </w:numPr>
      </w:pPr>
      <w:r>
        <w:t xml:space="preserve">patient education text</w:t>
      </w:r>
    </w:p>
    <w:p>
      <w:pPr>
        <w:pStyle w:val="Compact"/>
        <w:numPr>
          <w:ilvl w:val="0"/>
          <w:numId w:val="1004"/>
        </w:numPr>
      </w:pPr>
      <w:r>
        <w:t xml:space="preserve">evidence trails</w:t>
      </w:r>
    </w:p>
    <w:p>
      <w:pPr>
        <w:pStyle w:val="Compact"/>
        <w:numPr>
          <w:ilvl w:val="0"/>
          <w:numId w:val="1004"/>
        </w:numPr>
      </w:pPr>
      <w:r>
        <w:t xml:space="preserve">citation cards</w:t>
      </w:r>
    </w:p>
    <w:p>
      <w:pPr>
        <w:pStyle w:val="Compact"/>
        <w:numPr>
          <w:ilvl w:val="0"/>
          <w:numId w:val="1004"/>
        </w:numPr>
      </w:pPr>
      <w:r>
        <w:t xml:space="preserve">provider-facing summaries</w:t>
      </w:r>
    </w:p>
    <w:p>
      <w:pPr>
        <w:pStyle w:val="Compact"/>
        <w:numPr>
          <w:ilvl w:val="0"/>
          <w:numId w:val="1004"/>
        </w:numPr>
      </w:pPr>
      <w:r>
        <w:t xml:space="preserve">implementation summaries that may become product documentation</w:t>
      </w:r>
    </w:p>
    <w:p>
      <w:pPr>
        <w:pStyle w:val="FirstParagraph"/>
      </w:pPr>
      <w:r>
        <w:t xml:space="preserve">Use formal citations only for:</w:t>
      </w:r>
    </w:p>
    <w:p>
      <w:pPr>
        <w:pStyle w:val="Compact"/>
        <w:numPr>
          <w:ilvl w:val="0"/>
          <w:numId w:val="1005"/>
        </w:numPr>
      </w:pPr>
      <w:r>
        <w:t xml:space="preserve">FDA labels</w:t>
      </w:r>
    </w:p>
    <w:p>
      <w:pPr>
        <w:pStyle w:val="Compact"/>
        <w:numPr>
          <w:ilvl w:val="0"/>
          <w:numId w:val="1005"/>
        </w:numPr>
      </w:pPr>
      <w:r>
        <w:t xml:space="preserve">prescribing information</w:t>
      </w:r>
    </w:p>
    <w:p>
      <w:pPr>
        <w:pStyle w:val="Compact"/>
        <w:numPr>
          <w:ilvl w:val="0"/>
          <w:numId w:val="1005"/>
        </w:numPr>
      </w:pPr>
      <w:r>
        <w:t xml:space="preserve">IFUs</w:t>
      </w:r>
    </w:p>
    <w:p>
      <w:pPr>
        <w:pStyle w:val="Compact"/>
        <w:numPr>
          <w:ilvl w:val="0"/>
          <w:numId w:val="1005"/>
        </w:numPr>
      </w:pPr>
      <w:r>
        <w:t xml:space="preserve">PubMed literature</w:t>
      </w:r>
    </w:p>
    <w:p>
      <w:pPr>
        <w:pStyle w:val="Compact"/>
        <w:numPr>
          <w:ilvl w:val="0"/>
          <w:numId w:val="1005"/>
        </w:numPr>
      </w:pPr>
      <w:r>
        <w:t xml:space="preserve">approved evidence_links rows</w:t>
      </w:r>
    </w:p>
    <w:p>
      <w:pPr>
        <w:pStyle w:val="Compact"/>
        <w:numPr>
          <w:ilvl w:val="0"/>
          <w:numId w:val="1005"/>
        </w:numPr>
      </w:pPr>
      <w:r>
        <w:t xml:space="preserve">owned or licensed A360 source materials</w:t>
      </w:r>
    </w:p>
    <w:p>
      <w:pPr>
        <w:pStyle w:val="Compact"/>
        <w:numPr>
          <w:ilvl w:val="0"/>
          <w:numId w:val="1005"/>
        </w:numPr>
      </w:pPr>
      <w:r>
        <w:t xml:space="preserve">internal A360 structured data and dossiers</w:t>
      </w:r>
    </w:p>
    <w:p>
      <w:pPr>
        <w:pStyle w:val="FirstParagraph"/>
      </w:pPr>
      <w:r>
        <w:t xml:space="preserve">When practical experience informs a decision, describe it neutrally as:</w:t>
      </w:r>
    </w:p>
    <w:p>
      <w:pPr>
        <w:pStyle w:val="Compact"/>
        <w:numPr>
          <w:ilvl w:val="0"/>
          <w:numId w:val="1006"/>
        </w:numPr>
      </w:pPr>
      <w:r>
        <w:t xml:space="preserve">“practice-informed guidance”</w:t>
      </w:r>
    </w:p>
    <w:p>
      <w:pPr>
        <w:pStyle w:val="Compact"/>
        <w:numPr>
          <w:ilvl w:val="0"/>
          <w:numId w:val="1006"/>
        </w:numPr>
      </w:pPr>
      <w:r>
        <w:t xml:space="preserve">“expert-informed consensus”</w:t>
      </w:r>
    </w:p>
    <w:p>
      <w:pPr>
        <w:pStyle w:val="Compact"/>
        <w:numPr>
          <w:ilvl w:val="0"/>
          <w:numId w:val="1006"/>
        </w:numPr>
      </w:pPr>
      <w:r>
        <w:t xml:space="preserve">“common aesthetic practice pattern”</w:t>
      </w:r>
    </w:p>
    <w:p>
      <w:pPr>
        <w:pStyle w:val="Compact"/>
        <w:numPr>
          <w:ilvl w:val="0"/>
          <w:numId w:val="1006"/>
        </w:numPr>
      </w:pPr>
      <w:r>
        <w:t xml:space="preserve">“provider education guidance”</w:t>
      </w:r>
    </w:p>
    <w:p>
      <w:pPr>
        <w:pStyle w:val="Compact"/>
        <w:numPr>
          <w:ilvl w:val="0"/>
          <w:numId w:val="1006"/>
        </w:numPr>
      </w:pPr>
      <w:r>
        <w:t xml:space="preserve">“A360 synthesis”</w:t>
      </w:r>
    </w:p>
    <w:p>
      <w:pPr>
        <w:pStyle w:val="Compact"/>
        <w:numPr>
          <w:ilvl w:val="0"/>
          <w:numId w:val="1006"/>
        </w:numPr>
      </w:pPr>
      <w:r>
        <w:t xml:space="preserve">“field-informed recommendation”</w:t>
      </w:r>
    </w:p>
    <w:p>
      <w:pPr>
        <w:pStyle w:val="FirstParagraph"/>
      </w:pPr>
      <w:r>
        <w:t xml:space="preserve">Do not say:</w:t>
      </w:r>
    </w:p>
    <w:p>
      <w:pPr>
        <w:pStyle w:val="Compact"/>
        <w:numPr>
          <w:ilvl w:val="0"/>
          <w:numId w:val="1007"/>
        </w:numPr>
      </w:pPr>
      <w:r>
        <w:t xml:space="preserve">“podcast evidence”</w:t>
      </w:r>
    </w:p>
    <w:p>
      <w:pPr>
        <w:pStyle w:val="Compact"/>
        <w:numPr>
          <w:ilvl w:val="0"/>
          <w:numId w:val="1007"/>
        </w:numPr>
      </w:pPr>
      <w:r>
        <w:t xml:space="preserve">“according to this podcast”</w:t>
      </w:r>
    </w:p>
    <w:p>
      <w:pPr>
        <w:pStyle w:val="Compact"/>
        <w:numPr>
          <w:ilvl w:val="0"/>
          <w:numId w:val="1007"/>
        </w:numPr>
      </w:pPr>
      <w:r>
        <w:t xml:space="preserve">show names</w:t>
      </w:r>
    </w:p>
    <w:p>
      <w:pPr>
        <w:pStyle w:val="Compact"/>
        <w:numPr>
          <w:ilvl w:val="0"/>
          <w:numId w:val="1007"/>
        </w:numPr>
      </w:pPr>
      <w:r>
        <w:t xml:space="preserve">episode names</w:t>
      </w:r>
    </w:p>
    <w:p>
      <w:pPr>
        <w:pStyle w:val="Compact"/>
        <w:numPr>
          <w:ilvl w:val="0"/>
          <w:numId w:val="1007"/>
        </w:numPr>
      </w:pPr>
      <w:r>
        <w:t xml:space="preserve">transcript chunk IDs</w:t>
      </w:r>
    </w:p>
    <w:p>
      <w:pPr>
        <w:pStyle w:val="Compact"/>
        <w:numPr>
          <w:ilvl w:val="0"/>
          <w:numId w:val="1007"/>
        </w:numPr>
      </w:pPr>
      <w:r>
        <w:t xml:space="preserve">speaker quotes from non-owned sources</w:t>
      </w:r>
    </w:p>
    <w:p>
      <w:pPr>
        <w:pStyle w:val="Compact"/>
        <w:numPr>
          <w:ilvl w:val="0"/>
          <w:numId w:val="1007"/>
        </w:numPr>
      </w:pPr>
      <w:r>
        <w:t xml:space="preserve">non-owned media attribution</w:t>
      </w:r>
    </w:p>
    <w:p>
      <w:pPr>
        <w:pStyle w:val="FirstParagraph"/>
      </w:pPr>
      <w:r>
        <w:t xml:space="preserve">Internal planning files may retain the research trail if needed, but runtime and customer-facing outputs must not expose it.</w:t>
      </w:r>
    </w:p>
    <w:p>
      <w:r>
        <w:pict>
          <v:rect style="width:0;height:1.5pt" o:hralign="center" o:hrstd="t" o:hr="t"/>
        </w:pict>
      </w:r>
    </w:p>
    <w:bookmarkEnd w:id="23"/>
    <w:bookmarkStart w:id="25" w:name="final-phase-7-decisions"/>
    <w:p>
      <w:pPr>
        <w:pStyle w:val="Heading1"/>
      </w:pPr>
      <w:r>
        <w:t xml:space="preserve">Final Phase 7 Decisions</w:t>
      </w:r>
    </w:p>
    <w:bookmarkStart w:id="24" w:name="decision-summary"/>
    <w:p>
      <w:pPr>
        <w:pStyle w:val="Heading2"/>
      </w:pPr>
      <w:r>
        <w:t xml:space="preserve">Decision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Final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same-session posture</w:t>
            </w:r>
          </w:p>
        </w:tc>
        <w:tc>
          <w:tcPr/>
          <w:p>
            <w:pPr>
              <w:pStyle w:val="Compact"/>
            </w:pPr>
            <w:r>
              <w:t xml:space="preserve">Default YES unless explicitly 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model</w:t>
            </w:r>
          </w:p>
        </w:tc>
        <w:tc>
          <w:tcPr/>
          <w:p>
            <w:pPr>
              <w:pStyle w:val="Compact"/>
            </w:pPr>
            <w:r>
              <w:t xml:space="preserve">Use warning levels: hard_block, warning,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location</w:t>
            </w:r>
          </w:p>
        </w:tc>
        <w:tc>
          <w:tcPr/>
          <w:p>
            <w:pPr>
              <w:pStyle w:val="Compact"/>
            </w:pPr>
            <w:r>
              <w:t xml:space="preserve">Product-level cadence plus pair-level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Cadence depth</w:t>
            </w:r>
          </w:p>
        </w:tc>
        <w:tc>
          <w:tcPr/>
          <w:p>
            <w:pPr>
              <w:pStyle w:val="Compact"/>
            </w:pPr>
            <w:r>
              <w:t xml:space="preserve">Full cadence profile, not just minimum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Area-specific cadence</w:t>
            </w:r>
          </w:p>
        </w:tc>
        <w:tc>
          <w:tcPr/>
          <w:p>
            <w:pPr>
              <w:pStyle w:val="Compact"/>
            </w:pPr>
            <w:r>
              <w:t xml:space="preserve">One product-level cadence for now, with notes for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Event-based timing</w:t>
            </w:r>
          </w:p>
        </w:tc>
        <w:tc>
          <w:tcPr/>
          <w:p>
            <w:pPr>
              <w:pStyle w:val="Compact"/>
            </w:pPr>
            <w:r>
              <w:t xml:space="preserve">Defer to Phase 9 care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Sequencing</w:t>
            </w:r>
          </w:p>
        </w:tc>
        <w:tc>
          <w:tcPr/>
          <w:p>
            <w:pPr>
              <w:pStyle w:val="Compact"/>
            </w:pPr>
            <w:r>
              <w:t xml:space="preserve">Structured fields plus prose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Concern-specific sequencing</w:t>
            </w:r>
          </w:p>
        </w:tc>
        <w:tc>
          <w:tcPr/>
          <w:p>
            <w:pPr>
              <w:pStyle w:val="Compact"/>
            </w:pPr>
            <w:r>
              <w:t xml:space="preserve">One rule per pair for now, with notes for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Thermal/energy sequencing</w:t>
            </w:r>
          </w:p>
        </w:tc>
        <w:tc>
          <w:tcPr/>
          <w:p>
            <w:pPr>
              <w:pStyle w:val="Compact"/>
            </w:pPr>
            <w:r>
              <w:t xml:space="preserve">Capture in notes, do not add thermal schema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Product-level baseline plus pair-level combined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downtime</w:t>
            </w:r>
          </w:p>
        </w:tc>
        <w:tc>
          <w:tcPr/>
          <w:p>
            <w:pPr>
              <w:pStyle w:val="Compact"/>
            </w:pPr>
            <w:r>
              <w:t xml:space="preserve">Use max downtime as default; expert-determined override for canonical/common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Contraindication timing</w:t>
            </w:r>
          </w:p>
        </w:tc>
        <w:tc>
          <w:tcPr/>
          <w:p>
            <w:pPr>
              <w:pStyle w:val="Compact"/>
            </w:pPr>
            <w:r>
              <w:t xml:space="preserve">Pair-level fields plus</w:t>
            </w:r>
            <w:r>
              <w:t xml:space="preserve"> </w:t>
            </w:r>
            <w:r>
              <w:rPr>
                <w:rStyle w:val="VerbatimChar"/>
              </w:rPr>
              <w:t xml:space="preserve">safety_critical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floor</w:t>
            </w:r>
          </w:p>
        </w:tc>
        <w:tc>
          <w:tcPr/>
          <w:p>
            <w:pPr>
              <w:pStyle w:val="Compact"/>
            </w:pPr>
            <w:r>
              <w:t xml:space="preserve">Hybrid: evidence-backed hard stops plus provider-reviewable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Extend existing tables; do not create a new timing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Research/Evidence tab</w:t>
            </w:r>
          </w:p>
        </w:tc>
        <w:tc>
          <w:tcPr/>
          <w:p>
            <w:pPr>
              <w:pStyle w:val="Compact"/>
            </w:pPr>
            <w:r>
              <w:t xml:space="preserve">Timing enters through Phase 10 fuel, not direct Phase 7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Chris reviews business/liability-sensitive rules and safety-warning thresholds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7" w:name="same-session-rules"/>
    <w:p>
      <w:pPr>
        <w:pStyle w:val="Heading1"/>
      </w:pPr>
      <w:r>
        <w:t xml:space="preserve">1. Same-Session Rules</w:t>
      </w:r>
    </w:p>
    <w:bookmarkStart w:id="26" w:name="q1.1-default-same-session-posture"/>
    <w:p>
      <w:pPr>
        <w:pStyle w:val="Heading2"/>
      </w:pPr>
      <w:r>
        <w:t xml:space="preserve">Q1.1 — Default Same-Session Posture</w:t>
      </w:r>
    </w:p>
    <w:p>
      <w:pPr>
        <w:pStyle w:val="FirstParagraph"/>
      </w:pPr>
      <w:r>
        <w:rPr>
          <w:b/>
          <w:bCs/>
        </w:rPr>
        <w:t xml:space="preserve">Final answer: A — Default YES.</w:t>
      </w:r>
    </w:p>
    <w:p>
      <w:pPr>
        <w:pStyle w:val="BodyText"/>
      </w:pPr>
      <w:r>
        <w:t xml:space="preserve">A360 should default to allowing same-session treatment unless an explicit timing restriction exists.</w:t>
      </w:r>
    </w:p>
    <w:bookmarkEnd w:id="26"/>
    <w:bookmarkStart w:id="27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The clinical and practice pattern is that same-session treatment is common when modalities are complementary, operate in different tissue planes, or do not create a pharmacologic conflict.</w:t>
      </w:r>
    </w:p>
    <w:p>
      <w:pPr>
        <w:pStyle w:val="BodyText"/>
      </w:pPr>
      <w:r>
        <w:t xml:space="preserve">A default YES posture is commercially useful, clinically realistic, and operationally simpler. It avoids forcing every safe combination to be manually approved. The system only needs to document exceptions.</w:t>
      </w:r>
    </w:p>
    <w:bookmarkEnd w:id="27"/>
    <w:bookmarkStart w:id="28" w:name="safety-boundary"/>
    <w:p>
      <w:pPr>
        <w:pStyle w:val="Heading2"/>
      </w:pPr>
      <w:r>
        <w:t xml:space="preserve">Safety Boundary</w:t>
      </w:r>
    </w:p>
    <w:p>
      <w:pPr>
        <w:pStyle w:val="FirstParagraph"/>
      </w:pPr>
      <w:r>
        <w:t xml:space="preserve">Default YES does not mean same-session is always appropriate. It means:</w:t>
      </w:r>
    </w:p>
    <w:p>
      <w:pPr>
        <w:pStyle w:val="SourceCode"/>
      </w:pPr>
      <w:r>
        <w:rPr>
          <w:rStyle w:val="VerbatimChar"/>
        </w:rPr>
        <w:t xml:space="preserve">same_session_ok = true unless a pair-level rule states otherwise</w:t>
      </w:r>
    </w:p>
    <w:p>
      <w:pPr>
        <w:pStyle w:val="FirstParagraph"/>
      </w:pPr>
      <w:r>
        <w:t xml:space="preserve">Safety-critical, legal, pharmacologic, or high-risk timing conflicts should override the default.</w:t>
      </w:r>
    </w:p>
    <w:bookmarkEnd w:id="28"/>
    <w:bookmarkStart w:id="29" w:name="implementation-rule"/>
    <w:p>
      <w:pPr>
        <w:pStyle w:val="Heading2"/>
      </w:pPr>
      <w:r>
        <w:t xml:space="preserve">Implementation Rule</w:t>
      </w:r>
    </w:p>
    <w:p>
      <w:pPr>
        <w:pStyle w:val="FirstParagraph"/>
      </w:pPr>
      <w:r>
        <w:t xml:space="preserve">When no explicit rule exists:</w:t>
      </w:r>
    </w:p>
    <w:p>
      <w:pPr>
        <w:pStyle w:val="SourceCode"/>
      </w:pPr>
      <w:r>
        <w:rPr>
          <w:rStyle w:val="VerbatimChar"/>
        </w:rPr>
        <w:t xml:space="preserve">same_session_status = yes</w:t>
      </w:r>
      <w:r>
        <w:br/>
      </w:r>
      <w:r>
        <w:rPr>
          <w:rStyle w:val="VerbatimChar"/>
        </w:rPr>
        <w:t xml:space="preserve">same_session_ok = true</w:t>
      </w:r>
      <w:r>
        <w:br/>
      </w:r>
      <w:r>
        <w:rPr>
          <w:rStyle w:val="VerbatimChar"/>
        </w:rPr>
        <w:t xml:space="preserve">timing_warning_level = null</w:t>
      </w:r>
      <w:r>
        <w:br/>
      </w:r>
      <w:r>
        <w:rPr>
          <w:rStyle w:val="VerbatimChar"/>
        </w:rPr>
        <w:t xml:space="preserve">safety_critical = false</w:t>
      </w:r>
    </w:p>
    <w:p>
      <w:pPr>
        <w:pStyle w:val="FirstParagraph"/>
      </w:pPr>
      <w:r>
        <w:t xml:space="preserve">When a restriction exists:</w:t>
      </w:r>
    </w:p>
    <w:p>
      <w:pPr>
        <w:pStyle w:val="SourceCode"/>
      </w:pPr>
      <w:r>
        <w:rPr>
          <w:rStyle w:val="VerbatimChar"/>
        </w:rPr>
        <w:t xml:space="preserve">same_session_status = no | conditional</w:t>
      </w:r>
      <w:r>
        <w:br/>
      </w:r>
      <w:r>
        <w:rPr>
          <w:rStyle w:val="VerbatimChar"/>
        </w:rPr>
        <w:t xml:space="preserve">same_session_ok = false | true</w:t>
      </w:r>
      <w:r>
        <w:br/>
      </w:r>
      <w:r>
        <w:rPr>
          <w:rStyle w:val="VerbatimChar"/>
        </w:rPr>
        <w:t xml:space="preserve">timing_warning_level = hard_block | warning | education</w:t>
      </w:r>
      <w:r>
        <w:br/>
      </w:r>
      <w:r>
        <w:rPr>
          <w:rStyle w:val="VerbatimChar"/>
        </w:rPr>
        <w:t xml:space="preserve">safety_critical = true | false</w:t>
      </w:r>
    </w:p>
    <w:p>
      <w:r>
        <w:pict>
          <v:rect style="width:0;height:1.5pt" o:hralign="center" o:hrstd="t" o:hr="t"/>
        </w:pict>
      </w:r>
    </w:p>
    <w:bookmarkEnd w:id="29"/>
    <w:bookmarkStart w:id="30" w:name="q1.2-same-session-exception-model"/>
    <w:p>
      <w:pPr>
        <w:pStyle w:val="Heading2"/>
      </w:pPr>
      <w:r>
        <w:t xml:space="preserve">Q1.2 — Same-Session Exception Model</w:t>
      </w:r>
    </w:p>
    <w:p>
      <w:pPr>
        <w:pStyle w:val="FirstParagraph"/>
      </w:pPr>
      <w:r>
        <w:rPr>
          <w:b/>
          <w:bCs/>
        </w:rPr>
        <w:t xml:space="preserve">Final answer: B — Warning model, with hard blocks reserved for true contraindications.</w:t>
      </w:r>
    </w:p>
    <w:p>
      <w:pPr>
        <w:pStyle w:val="BodyText"/>
      </w:pPr>
      <w:r>
        <w:t xml:space="preserve">Use three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hard_block</w:t>
            </w:r>
          </w:p>
        </w:tc>
        <w:tc>
          <w:tcPr/>
          <w:p>
            <w:pPr>
              <w:pStyle w:val="Compact"/>
            </w:pPr>
            <w:r>
              <w:t xml:space="preserve">Should not be recommended or booked together</w:t>
            </w:r>
          </w:p>
        </w:tc>
        <w:tc>
          <w:tcPr/>
          <w:p>
            <w:pPr>
              <w:pStyle w:val="Compact"/>
            </w:pPr>
            <w:r>
              <w:t xml:space="preserve">System prevents or strongly suppresses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Clinically meaningful caution; provider may override</w:t>
            </w:r>
          </w:p>
        </w:tc>
        <w:tc>
          <w:tcPr/>
          <w:p>
            <w:pPr>
              <w:pStyle w:val="Compact"/>
            </w:pPr>
            <w:r>
              <w:t xml:space="preserve">Surface prominently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Useful context or preference, not a safety restriction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</w:tr>
    </w:tbl>
    <w:bookmarkEnd w:id="30"/>
    <w:bookmarkStart w:id="31" w:name="hard-block-examples"/>
    <w:p>
      <w:pPr>
        <w:pStyle w:val="Heading2"/>
      </w:pPr>
      <w:r>
        <w:t xml:space="preserve">Hard Block Examples</w:t>
      </w:r>
    </w:p>
    <w:p>
      <w:pPr>
        <w:pStyle w:val="FirstParagraph"/>
      </w:pPr>
      <w:r>
        <w:t xml:space="preserve">Use hard blocks only for rules such as:</w:t>
      </w:r>
    </w:p>
    <w:p>
      <w:pPr>
        <w:pStyle w:val="Compact"/>
        <w:numPr>
          <w:ilvl w:val="0"/>
          <w:numId w:val="1008"/>
        </w:numPr>
      </w:pPr>
      <w:r>
        <w:t xml:space="preserve">hyaluronidase and HA filler in the same session</w:t>
      </w:r>
    </w:p>
    <w:p>
      <w:pPr>
        <w:pStyle w:val="Compact"/>
        <w:numPr>
          <w:ilvl w:val="0"/>
          <w:numId w:val="1008"/>
        </w:numPr>
      </w:pPr>
      <w:r>
        <w:t xml:space="preserve">treatment-specific pharmacologic conflicts</w:t>
      </w:r>
    </w:p>
    <w:p>
      <w:pPr>
        <w:pStyle w:val="Compact"/>
        <w:numPr>
          <w:ilvl w:val="0"/>
          <w:numId w:val="1008"/>
        </w:numPr>
      </w:pPr>
      <w:r>
        <w:t xml:space="preserve">formal contraindications</w:t>
      </w:r>
    </w:p>
    <w:p>
      <w:pPr>
        <w:pStyle w:val="Compact"/>
        <w:numPr>
          <w:ilvl w:val="0"/>
          <w:numId w:val="1008"/>
        </w:numPr>
      </w:pPr>
      <w:r>
        <w:t xml:space="preserve">jurisdiction-specific legal restrictions, if jurisdiction logic is enabled</w:t>
      </w:r>
    </w:p>
    <w:p>
      <w:pPr>
        <w:pStyle w:val="Compact"/>
        <w:numPr>
          <w:ilvl w:val="0"/>
          <w:numId w:val="1008"/>
        </w:numPr>
      </w:pPr>
      <w:r>
        <w:t xml:space="preserve">minimum neurotoxin retreatment interval, where applicable</w:t>
      </w:r>
    </w:p>
    <w:bookmarkEnd w:id="31"/>
    <w:bookmarkStart w:id="32" w:name="warning-examples"/>
    <w:p>
      <w:pPr>
        <w:pStyle w:val="Heading2"/>
      </w:pPr>
      <w:r>
        <w:t xml:space="preserve">Warning Examples</w:t>
      </w:r>
    </w:p>
    <w:p>
      <w:pPr>
        <w:pStyle w:val="FirstParagraph"/>
      </w:pPr>
      <w:r>
        <w:t xml:space="preserve">Use warnings for:</w:t>
      </w:r>
    </w:p>
    <w:p>
      <w:pPr>
        <w:pStyle w:val="Compact"/>
        <w:numPr>
          <w:ilvl w:val="0"/>
          <w:numId w:val="1009"/>
        </w:numPr>
      </w:pPr>
      <w:r>
        <w:t xml:space="preserve">dose-related antibody risk</w:t>
      </w:r>
    </w:p>
    <w:p>
      <w:pPr>
        <w:pStyle w:val="Compact"/>
        <w:numPr>
          <w:ilvl w:val="0"/>
          <w:numId w:val="1009"/>
        </w:numPr>
      </w:pPr>
      <w:r>
        <w:t xml:space="preserve">technique-sensitive same-session combinations</w:t>
      </w:r>
    </w:p>
    <w:p>
      <w:pPr>
        <w:pStyle w:val="Compact"/>
        <w:numPr>
          <w:ilvl w:val="0"/>
          <w:numId w:val="1009"/>
        </w:numPr>
      </w:pPr>
      <w:r>
        <w:t xml:space="preserve">combinations where practice patterns vary</w:t>
      </w:r>
    </w:p>
    <w:p>
      <w:pPr>
        <w:pStyle w:val="Compact"/>
        <w:numPr>
          <w:ilvl w:val="0"/>
          <w:numId w:val="1009"/>
        </w:numPr>
      </w:pPr>
      <w:r>
        <w:t xml:space="preserve">combined downtime concerns</w:t>
      </w:r>
    </w:p>
    <w:p>
      <w:pPr>
        <w:pStyle w:val="Compact"/>
        <w:numPr>
          <w:ilvl w:val="0"/>
          <w:numId w:val="1009"/>
        </w:numPr>
      </w:pPr>
      <w:r>
        <w:t xml:space="preserve">situations where provider assessment is required</w:t>
      </w:r>
    </w:p>
    <w:bookmarkEnd w:id="32"/>
    <w:bookmarkStart w:id="33" w:name="education-examples"/>
    <w:p>
      <w:pPr>
        <w:pStyle w:val="Heading2"/>
      </w:pPr>
      <w:r>
        <w:t xml:space="preserve">Education Examples</w:t>
      </w:r>
    </w:p>
    <w:p>
      <w:pPr>
        <w:pStyle w:val="FirstParagraph"/>
      </w:pPr>
      <w:r>
        <w:t xml:space="preserve">Use education notes for:</w:t>
      </w:r>
    </w:p>
    <w:p>
      <w:pPr>
        <w:pStyle w:val="Compact"/>
        <w:numPr>
          <w:ilvl w:val="0"/>
          <w:numId w:val="1010"/>
        </w:numPr>
      </w:pPr>
      <w:r>
        <w:t xml:space="preserve">preferred sequencing</w:t>
      </w:r>
    </w:p>
    <w:p>
      <w:pPr>
        <w:pStyle w:val="Compact"/>
        <w:numPr>
          <w:ilvl w:val="0"/>
          <w:numId w:val="1010"/>
        </w:numPr>
      </w:pPr>
      <w:r>
        <w:t xml:space="preserve">commercially useful staging</w:t>
      </w:r>
    </w:p>
    <w:p>
      <w:pPr>
        <w:pStyle w:val="Compact"/>
        <w:numPr>
          <w:ilvl w:val="0"/>
          <w:numId w:val="1010"/>
        </w:numPr>
      </w:pPr>
      <w:r>
        <w:t xml:space="preserve">event timing considerations</w:t>
      </w:r>
    </w:p>
    <w:p>
      <w:pPr>
        <w:pStyle w:val="Compact"/>
        <w:numPr>
          <w:ilvl w:val="0"/>
          <w:numId w:val="1010"/>
        </w:numPr>
      </w:pPr>
      <w:r>
        <w:t xml:space="preserve">patient expectation management</w:t>
      </w:r>
    </w:p>
    <w:p>
      <w:pPr>
        <w:pStyle w:val="Compact"/>
        <w:numPr>
          <w:ilvl w:val="0"/>
          <w:numId w:val="1010"/>
        </w:numPr>
      </w:pPr>
      <w:r>
        <w:t xml:space="preserve">non-safety-related timing preferences</w:t>
      </w:r>
    </w:p>
    <w:p>
      <w:r>
        <w:pict>
          <v:rect style="width:0;height:1.5pt" o:hralign="center" o:hrstd="t" o:hr="t"/>
        </w:pict>
      </w:r>
    </w:p>
    <w:bookmarkEnd w:id="33"/>
    <w:bookmarkStart w:id="34" w:name="q1.3-product-level-or-pair-level-timing"/>
    <w:p>
      <w:pPr>
        <w:pStyle w:val="Heading2"/>
      </w:pPr>
      <w:r>
        <w:t xml:space="preserve">Q1.3 — Product-Level or Pair-Level Timing</w:t>
      </w:r>
    </w:p>
    <w:p>
      <w:pPr>
        <w:pStyle w:val="FirstParagraph"/>
      </w:pPr>
      <w:r>
        <w:rPr>
          <w:b/>
          <w:bCs/>
        </w:rPr>
        <w:t xml:space="preserve">Final answer: C — Both.</w:t>
      </w:r>
    </w:p>
    <w:p>
      <w:pPr>
        <w:pStyle w:val="BodyText"/>
      </w:pPr>
      <w:r>
        <w:t xml:space="preserve">Product timing and pair timing answer different questions.</w:t>
      </w:r>
    </w:p>
    <w:bookmarkEnd w:id="34"/>
    <w:bookmarkStart w:id="35" w:name="product-level-timing-answers"/>
    <w:p>
      <w:pPr>
        <w:pStyle w:val="Heading2"/>
      </w:pPr>
      <w:r>
        <w:t xml:space="preserve">Product-Level Timing Answers</w:t>
      </w:r>
    </w:p>
    <w:p>
      <w:pPr>
        <w:pStyle w:val="Compact"/>
        <w:numPr>
          <w:ilvl w:val="0"/>
          <w:numId w:val="1011"/>
        </w:numPr>
      </w:pPr>
      <w:r>
        <w:t xml:space="preserve">How often can this treatment be repeated?</w:t>
      </w:r>
    </w:p>
    <w:p>
      <w:pPr>
        <w:pStyle w:val="Compact"/>
        <w:numPr>
          <w:ilvl w:val="0"/>
          <w:numId w:val="1011"/>
        </w:numPr>
      </w:pPr>
      <w:r>
        <w:t xml:space="preserve">How many treatments are in the initial series?</w:t>
      </w:r>
    </w:p>
    <w:p>
      <w:pPr>
        <w:pStyle w:val="Compact"/>
        <w:numPr>
          <w:ilvl w:val="0"/>
          <w:numId w:val="1011"/>
        </w:numPr>
      </w:pPr>
      <w:r>
        <w:t xml:space="preserve">How far apart are initial treatments?</w:t>
      </w:r>
    </w:p>
    <w:p>
      <w:pPr>
        <w:pStyle w:val="Compact"/>
        <w:numPr>
          <w:ilvl w:val="0"/>
          <w:numId w:val="1011"/>
        </w:numPr>
      </w:pPr>
      <w:r>
        <w:t xml:space="preserve">How often is maintenance performed?</w:t>
      </w:r>
    </w:p>
    <w:p>
      <w:pPr>
        <w:pStyle w:val="Compact"/>
        <w:numPr>
          <w:ilvl w:val="0"/>
          <w:numId w:val="1011"/>
        </w:numPr>
      </w:pPr>
      <w:r>
        <w:t xml:space="preserve">What is the minimum retreatment interval?</w:t>
      </w:r>
    </w:p>
    <w:p>
      <w:pPr>
        <w:pStyle w:val="Compact"/>
        <w:numPr>
          <w:ilvl w:val="0"/>
          <w:numId w:val="1011"/>
        </w:numPr>
      </w:pPr>
      <w:r>
        <w:t xml:space="preserve">What is the expected downtime?</w:t>
      </w:r>
    </w:p>
    <w:bookmarkEnd w:id="35"/>
    <w:bookmarkStart w:id="36" w:name="pair-level-timing-answers"/>
    <w:p>
      <w:pPr>
        <w:pStyle w:val="Heading2"/>
      </w:pPr>
      <w:r>
        <w:t xml:space="preserve">Pair-Level Timing Answers</w:t>
      </w:r>
    </w:p>
    <w:p>
      <w:pPr>
        <w:pStyle w:val="Compact"/>
        <w:numPr>
          <w:ilvl w:val="0"/>
          <w:numId w:val="1012"/>
        </w:numPr>
      </w:pPr>
      <w:r>
        <w:t xml:space="preserve">Can these two treatments be done in the same visit?</w:t>
      </w:r>
    </w:p>
    <w:p>
      <w:pPr>
        <w:pStyle w:val="Compact"/>
        <w:numPr>
          <w:ilvl w:val="0"/>
          <w:numId w:val="1012"/>
        </w:numPr>
      </w:pPr>
      <w:r>
        <w:t xml:space="preserve">Does one need to come before the other?</w:t>
      </w:r>
    </w:p>
    <w:p>
      <w:pPr>
        <w:pStyle w:val="Compact"/>
        <w:numPr>
          <w:ilvl w:val="0"/>
          <w:numId w:val="1012"/>
        </w:numPr>
      </w:pPr>
      <w:r>
        <w:t xml:space="preserve">How many days or weeks should separate them?</w:t>
      </w:r>
    </w:p>
    <w:p>
      <w:pPr>
        <w:pStyle w:val="Compact"/>
        <w:numPr>
          <w:ilvl w:val="0"/>
          <w:numId w:val="1012"/>
        </w:numPr>
      </w:pPr>
      <w:r>
        <w:t xml:space="preserve">Is there a safety-critical issue?</w:t>
      </w:r>
    </w:p>
    <w:p>
      <w:pPr>
        <w:pStyle w:val="Compact"/>
        <w:numPr>
          <w:ilvl w:val="0"/>
          <w:numId w:val="1012"/>
        </w:numPr>
      </w:pPr>
      <w:r>
        <w:t xml:space="preserve">Does combined downtime differ from product-level downtime?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interval-and-cadence"/>
    <w:p>
      <w:pPr>
        <w:pStyle w:val="Heading1"/>
      </w:pPr>
      <w:r>
        <w:t xml:space="preserve">2. Interval and Cadence</w:t>
      </w:r>
    </w:p>
    <w:bookmarkStart w:id="38" w:name="q2.1-cadence-fields"/>
    <w:p>
      <w:pPr>
        <w:pStyle w:val="Heading2"/>
      </w:pPr>
      <w:r>
        <w:t xml:space="preserve">Q2.1 — Cadence Fields</w:t>
      </w:r>
    </w:p>
    <w:p>
      <w:pPr>
        <w:pStyle w:val="FirstParagraph"/>
      </w:pPr>
      <w:r>
        <w:rPr>
          <w:b/>
          <w:bCs/>
        </w:rPr>
        <w:t xml:space="preserve">Final answer: C — Full cadence profile.</w:t>
      </w:r>
    </w:p>
    <w:p>
      <w:pPr>
        <w:pStyle w:val="BodyText"/>
      </w:pPr>
      <w:r>
        <w:t xml:space="preserve">A360 should not store only a minimum interval. Aesthetic treatment planning depends on the full treatment arc.</w:t>
      </w:r>
    </w:p>
    <w:bookmarkEnd w:id="38"/>
    <w:bookmarkStart w:id="39" w:name="required-product-level-cadence-fields"/>
    <w:p>
      <w:pPr>
        <w:pStyle w:val="Heading2"/>
      </w:pPr>
      <w:r>
        <w:t xml:space="preserve">Required Product-Level Cadence Fields</w:t>
      </w:r>
    </w:p>
    <w:p>
      <w:pPr>
        <w:pStyle w:val="SourceCode"/>
      </w:pPr>
      <w:r>
        <w:rPr>
          <w:rStyle w:val="NormalTok"/>
        </w:rPr>
        <w:t xml:space="preserve">initial_series_count</w:t>
      </w:r>
      <w:r>
        <w:br/>
      </w:r>
      <w:r>
        <w:rPr>
          <w:rStyle w:val="NormalTok"/>
        </w:rPr>
        <w:t xml:space="preserve">initial_interval_days_min</w:t>
      </w:r>
      <w:r>
        <w:br/>
      </w:r>
      <w:r>
        <w:rPr>
          <w:rStyle w:val="NormalTok"/>
        </w:rPr>
        <w:t xml:space="preserve">initial_interval_days_max</w:t>
      </w:r>
      <w:r>
        <w:br/>
      </w:r>
      <w:r>
        <w:rPr>
          <w:rStyle w:val="NormalTok"/>
        </w:rPr>
        <w:t xml:space="preserve">maintenance_interval_days_min</w:t>
      </w:r>
      <w:r>
        <w:br/>
      </w:r>
      <w:r>
        <w:rPr>
          <w:rStyle w:val="NormalTok"/>
        </w:rPr>
        <w:t xml:space="preserve">maintenance_interval_days_max</w:t>
      </w:r>
      <w:r>
        <w:br/>
      </w:r>
      <w:r>
        <w:rPr>
          <w:rStyle w:val="NormalTok"/>
        </w:rPr>
        <w:t xml:space="preserve">minimum_retreatment_days</w:t>
      </w:r>
      <w:r>
        <w:br/>
      </w:r>
      <w:r>
        <w:rPr>
          <w:rStyle w:val="NormalTok"/>
        </w:rPr>
        <w:t xml:space="preserve">typical_followup_days</w:t>
      </w:r>
      <w:r>
        <w:br/>
      </w:r>
      <w:r>
        <w:rPr>
          <w:rStyle w:val="NormalTok"/>
        </w:rPr>
        <w:t xml:space="preserve">cadence_notes</w:t>
      </w:r>
    </w:p>
    <w:bookmarkEnd w:id="39"/>
    <w:bookmarkStart w:id="40" w:name="required-product-level-downtime-fields"/>
    <w:p>
      <w:pPr>
        <w:pStyle w:val="Heading2"/>
      </w:pPr>
      <w:r>
        <w:t xml:space="preserve">Required Product-Level Downtime Fields</w:t>
      </w:r>
    </w:p>
    <w:p>
      <w:pPr>
        <w:pStyle w:val="SourceCode"/>
      </w:pPr>
      <w:r>
        <w:rPr>
          <w:rStyle w:val="NormalTok"/>
        </w:rPr>
        <w:t xml:space="preserve">downtime_days_min</w:t>
      </w:r>
      <w:r>
        <w:br/>
      </w:r>
      <w:r>
        <w:rPr>
          <w:rStyle w:val="NormalTok"/>
        </w:rPr>
        <w:t xml:space="preserve">downtime_days_max</w:t>
      </w:r>
      <w:r>
        <w:br/>
      </w:r>
      <w:r>
        <w:rPr>
          <w:rStyle w:val="NormalTok"/>
        </w:rPr>
        <w:t xml:space="preserve">downtime_description</w:t>
      </w:r>
    </w:p>
    <w:bookmarkEnd w:id="40"/>
    <w:bookmarkStart w:id="41" w:name="why-full-cadence-matters"/>
    <w:p>
      <w:pPr>
        <w:pStyle w:val="Heading2"/>
      </w:pPr>
      <w:r>
        <w:t xml:space="preserve">Why Full Cadence Matters</w:t>
      </w:r>
    </w:p>
    <w:p>
      <w:pPr>
        <w:pStyle w:val="FirstParagraph"/>
      </w:pPr>
      <w:r>
        <w:t xml:space="preserve">Different products have different timing stories:</w:t>
      </w:r>
    </w:p>
    <w:p>
      <w:pPr>
        <w:pStyle w:val="Compact"/>
        <w:numPr>
          <w:ilvl w:val="0"/>
          <w:numId w:val="1013"/>
        </w:numPr>
      </w:pPr>
      <w:r>
        <w:t xml:space="preserve">Neurotoxins require retreatment interval discipline.</w:t>
      </w:r>
    </w:p>
    <w:p>
      <w:pPr>
        <w:pStyle w:val="Compact"/>
        <w:numPr>
          <w:ilvl w:val="0"/>
          <w:numId w:val="1013"/>
        </w:numPr>
      </w:pPr>
      <w:r>
        <w:t xml:space="preserve">HA fillers often need follow-up or touch-up assessment.</w:t>
      </w:r>
    </w:p>
    <w:p>
      <w:pPr>
        <w:pStyle w:val="Compact"/>
        <w:numPr>
          <w:ilvl w:val="0"/>
          <w:numId w:val="1013"/>
        </w:numPr>
      </w:pPr>
      <w:r>
        <w:t xml:space="preserve">Biostimulators usually require multi-session protocols and delayed results.</w:t>
      </w:r>
    </w:p>
    <w:p>
      <w:pPr>
        <w:pStyle w:val="Compact"/>
        <w:numPr>
          <w:ilvl w:val="0"/>
          <w:numId w:val="1013"/>
        </w:numPr>
      </w:pPr>
      <w:r>
        <w:t xml:space="preserve">RF microneedling often requires an initial series.</w:t>
      </w:r>
    </w:p>
    <w:p>
      <w:pPr>
        <w:pStyle w:val="Compact"/>
        <w:numPr>
          <w:ilvl w:val="0"/>
          <w:numId w:val="1013"/>
        </w:numPr>
      </w:pPr>
      <w:r>
        <w:t xml:space="preserve">Body contouring treatments may require delayed assessment before retreatment.</w:t>
      </w:r>
    </w:p>
    <w:p>
      <w:pPr>
        <w:pStyle w:val="Compact"/>
        <w:numPr>
          <w:ilvl w:val="0"/>
          <w:numId w:val="1013"/>
        </w:numPr>
      </w:pPr>
      <w:r>
        <w:t xml:space="preserve">Skin treatments may require a series and maintenance schedule.</w:t>
      </w:r>
    </w:p>
    <w:p>
      <w:pPr>
        <w:pStyle w:val="FirstParagraph"/>
      </w:pPr>
      <w:r>
        <w:t xml:space="preserve">Agents need these timing arcs to answer patient/provider questions accurately.</w:t>
      </w:r>
    </w:p>
    <w:p>
      <w:r>
        <w:pict>
          <v:rect style="width:0;height:1.5pt" o:hralign="center" o:hrstd="t" o:hr="t"/>
        </w:pict>
      </w:r>
    </w:p>
    <w:bookmarkEnd w:id="41"/>
    <w:bookmarkStart w:id="42" w:name="q2.2-cadence-by-indication-or-area"/>
    <w:p>
      <w:pPr>
        <w:pStyle w:val="Heading2"/>
      </w:pPr>
      <w:r>
        <w:t xml:space="preserve">Q2.2 — Cadence by Indication or Area</w:t>
      </w:r>
    </w:p>
    <w:p>
      <w:pPr>
        <w:pStyle w:val="FirstParagraph"/>
      </w:pPr>
      <w:r>
        <w:rPr>
          <w:b/>
          <w:bCs/>
        </w:rPr>
        <w:t xml:space="preserve">Final answer: A — One cadence per product for now, with notes for area-specific exceptions.</w:t>
      </w:r>
    </w:p>
    <w:p>
      <w:pPr>
        <w:pStyle w:val="BodyText"/>
      </w:pPr>
      <w:r>
        <w:t xml:space="preserve">Area-specific cadence is real, but it is too granular for Phase 7 unless the existing product architecture already supports indication-level timing.</w:t>
      </w:r>
    </w:p>
    <w:bookmarkEnd w:id="42"/>
    <w:bookmarkStart w:id="43" w:name="implementation-rule-1"/>
    <w:p>
      <w:pPr>
        <w:pStyle w:val="Heading2"/>
      </w:pPr>
      <w:r>
        <w:t xml:space="preserve">Implementation Rule</w:t>
      </w:r>
    </w:p>
    <w:p>
      <w:pPr>
        <w:pStyle w:val="FirstParagraph"/>
      </w:pPr>
      <w:r>
        <w:t xml:space="preserve">Use product-level cadence for the dominant/common use case.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cadence_notes</w:t>
      </w:r>
      <w:r>
        <w:t xml:space="preserve"> </w:t>
      </w:r>
      <w:r>
        <w:t xml:space="preserve">to capture exceptions such as:</w:t>
      </w:r>
    </w:p>
    <w:p>
      <w:pPr>
        <w:pStyle w:val="Compact"/>
        <w:numPr>
          <w:ilvl w:val="0"/>
          <w:numId w:val="1014"/>
        </w:numPr>
      </w:pPr>
      <w:r>
        <w:t xml:space="preserve">masseter toxin may last longer than upper-face toxin</w:t>
      </w:r>
    </w:p>
    <w:p>
      <w:pPr>
        <w:pStyle w:val="Compact"/>
        <w:numPr>
          <w:ilvl w:val="0"/>
          <w:numId w:val="1014"/>
        </w:numPr>
      </w:pPr>
      <w:r>
        <w:t xml:space="preserve">hyperhidrosis may have different cadence</w:t>
      </w:r>
    </w:p>
    <w:p>
      <w:pPr>
        <w:pStyle w:val="Compact"/>
        <w:numPr>
          <w:ilvl w:val="0"/>
          <w:numId w:val="1014"/>
        </w:numPr>
      </w:pPr>
      <w:r>
        <w:t xml:space="preserve">facial vs body laser hair removal may differ</w:t>
      </w:r>
    </w:p>
    <w:p>
      <w:pPr>
        <w:pStyle w:val="Compact"/>
        <w:numPr>
          <w:ilvl w:val="0"/>
          <w:numId w:val="1014"/>
        </w:numPr>
      </w:pPr>
      <w:r>
        <w:t xml:space="preserve">lip filler follow-up may differ from cheek filler follow-up</w:t>
      </w:r>
    </w:p>
    <w:p>
      <w:pPr>
        <w:pStyle w:val="Compact"/>
        <w:numPr>
          <w:ilvl w:val="0"/>
          <w:numId w:val="1014"/>
        </w:numPr>
      </w:pPr>
      <w:r>
        <w:t xml:space="preserve">higher-dose treatments may have longer duration</w:t>
      </w:r>
    </w:p>
    <w:bookmarkEnd w:id="43"/>
    <w:bookmarkStart w:id="44" w:name="deferred"/>
    <w:p>
      <w:pPr>
        <w:pStyle w:val="Heading2"/>
      </w:pPr>
      <w:r>
        <w:t xml:space="preserve">Deferred</w:t>
      </w:r>
    </w:p>
    <w:p>
      <w:pPr>
        <w:pStyle w:val="FirstParagraph"/>
      </w:pPr>
      <w:r>
        <w:t xml:space="preserve">If needed later, add an indication/area-specific timing table in a future phase.</w:t>
      </w:r>
    </w:p>
    <w:p>
      <w:pPr>
        <w:pStyle w:val="BodyText"/>
      </w:pPr>
      <w:r>
        <w:t xml:space="preserve">Potential future table:</w:t>
      </w:r>
    </w:p>
    <w:p>
      <w:pPr>
        <w:pStyle w:val="SourceCode"/>
      </w:pPr>
      <w:r>
        <w:rPr>
          <w:rStyle w:val="NormalTok"/>
        </w:rPr>
        <w:t xml:space="preserve">product_area_timing_rules</w:t>
      </w:r>
    </w:p>
    <w:p>
      <w:pPr>
        <w:pStyle w:val="FirstParagraph"/>
      </w:pPr>
      <w:r>
        <w:t xml:space="preserve">Do not create this in Phase 7.</w:t>
      </w:r>
    </w:p>
    <w:p>
      <w:r>
        <w:pict>
          <v:rect style="width:0;height:1.5pt" o:hralign="center" o:hrstd="t" o:hr="t"/>
        </w:pict>
      </w:r>
    </w:p>
    <w:bookmarkEnd w:id="44"/>
    <w:bookmarkStart w:id="45" w:name="q2.3-event-based-timing"/>
    <w:p>
      <w:pPr>
        <w:pStyle w:val="Heading2"/>
      </w:pPr>
      <w:r>
        <w:t xml:space="preserve">Q2.3 — Event-Based Timing</w:t>
      </w:r>
    </w:p>
    <w:p>
      <w:pPr>
        <w:pStyle w:val="FirstParagraph"/>
      </w:pPr>
      <w:r>
        <w:rPr>
          <w:b/>
          <w:bCs/>
        </w:rPr>
        <w:t xml:space="preserve">Final answer: C — Defer to Phase 9 care plans.</w:t>
      </w:r>
    </w:p>
    <w:p>
      <w:pPr>
        <w:pStyle w:val="BodyText"/>
      </w:pPr>
      <w:r>
        <w:t xml:space="preserve">Event-based planning is important, but it is care-plan logic, not base timing schema.</w:t>
      </w:r>
    </w:p>
    <w:bookmarkEnd w:id="45"/>
    <w:bookmarkStart w:id="46" w:name="phase-7-responsibility"/>
    <w:p>
      <w:pPr>
        <w:pStyle w:val="Heading2"/>
      </w:pPr>
      <w:r>
        <w:t xml:space="preserve">Phase 7 Responsibility</w:t>
      </w:r>
    </w:p>
    <w:p>
      <w:pPr>
        <w:pStyle w:val="FirstParagraph"/>
      </w:pPr>
      <w:r>
        <w:t xml:space="preserve">Store the underlying timing facts:</w:t>
      </w:r>
    </w:p>
    <w:p>
      <w:pPr>
        <w:pStyle w:val="Compact"/>
        <w:numPr>
          <w:ilvl w:val="0"/>
          <w:numId w:val="1015"/>
        </w:numPr>
      </w:pPr>
      <w:r>
        <w:t xml:space="preserve">onset timing</w:t>
      </w:r>
    </w:p>
    <w:p>
      <w:pPr>
        <w:pStyle w:val="Compact"/>
        <w:numPr>
          <w:ilvl w:val="0"/>
          <w:numId w:val="1015"/>
        </w:numPr>
      </w:pPr>
      <w:r>
        <w:t xml:space="preserve">full-effect timing</w:t>
      </w:r>
    </w:p>
    <w:p>
      <w:pPr>
        <w:pStyle w:val="Compact"/>
        <w:numPr>
          <w:ilvl w:val="0"/>
          <w:numId w:val="1015"/>
        </w:numPr>
      </w:pPr>
      <w:r>
        <w:t xml:space="preserve">downtime</w:t>
      </w:r>
    </w:p>
    <w:p>
      <w:pPr>
        <w:pStyle w:val="Compact"/>
        <w:numPr>
          <w:ilvl w:val="0"/>
          <w:numId w:val="1015"/>
        </w:numPr>
      </w:pPr>
      <w:r>
        <w:t xml:space="preserve">follow-up window</w:t>
      </w:r>
    </w:p>
    <w:p>
      <w:pPr>
        <w:pStyle w:val="Compact"/>
        <w:numPr>
          <w:ilvl w:val="0"/>
          <w:numId w:val="1015"/>
        </w:numPr>
      </w:pPr>
      <w:r>
        <w:t xml:space="preserve">initial series timing</w:t>
      </w:r>
    </w:p>
    <w:p>
      <w:pPr>
        <w:pStyle w:val="Compact"/>
        <w:numPr>
          <w:ilvl w:val="0"/>
          <w:numId w:val="1015"/>
        </w:numPr>
      </w:pPr>
      <w:r>
        <w:t xml:space="preserve">maintenance interval</w:t>
      </w:r>
    </w:p>
    <w:p>
      <w:pPr>
        <w:pStyle w:val="Compact"/>
        <w:numPr>
          <w:ilvl w:val="0"/>
          <w:numId w:val="1015"/>
        </w:numPr>
      </w:pPr>
      <w:r>
        <w:t xml:space="preserve">minimum retreatment interval</w:t>
      </w:r>
    </w:p>
    <w:bookmarkEnd w:id="46"/>
    <w:bookmarkStart w:id="47" w:name="phase-9-responsibility"/>
    <w:p>
      <w:pPr>
        <w:pStyle w:val="Heading2"/>
      </w:pPr>
      <w:r>
        <w:t xml:space="preserve">Phase 9 Responsibility</w:t>
      </w:r>
    </w:p>
    <w:p>
      <w:pPr>
        <w:pStyle w:val="FirstParagraph"/>
      </w:pPr>
      <w:r>
        <w:t xml:space="preserve">Use Phase 7 timing data to build:</w:t>
      </w:r>
    </w:p>
    <w:p>
      <w:pPr>
        <w:pStyle w:val="Compact"/>
        <w:numPr>
          <w:ilvl w:val="0"/>
          <w:numId w:val="1016"/>
        </w:numPr>
      </w:pPr>
      <w:r>
        <w:t xml:space="preserve">wedding timelines</w:t>
      </w:r>
    </w:p>
    <w:p>
      <w:pPr>
        <w:pStyle w:val="Compact"/>
        <w:numPr>
          <w:ilvl w:val="0"/>
          <w:numId w:val="1016"/>
        </w:numPr>
      </w:pPr>
      <w:r>
        <w:t xml:space="preserve">vacation timelines</w:t>
      </w:r>
    </w:p>
    <w:p>
      <w:pPr>
        <w:pStyle w:val="Compact"/>
        <w:numPr>
          <w:ilvl w:val="0"/>
          <w:numId w:val="1016"/>
        </w:numPr>
      </w:pPr>
      <w:r>
        <w:t xml:space="preserve">event prep plans</w:t>
      </w:r>
    </w:p>
    <w:p>
      <w:pPr>
        <w:pStyle w:val="Compact"/>
        <w:numPr>
          <w:ilvl w:val="0"/>
          <w:numId w:val="1016"/>
        </w:numPr>
      </w:pPr>
      <w:r>
        <w:t xml:space="preserve">photo-ready timelines</w:t>
      </w:r>
    </w:p>
    <w:p>
      <w:pPr>
        <w:pStyle w:val="Compact"/>
        <w:numPr>
          <w:ilvl w:val="0"/>
          <w:numId w:val="1016"/>
        </w:numPr>
      </w:pPr>
      <w:r>
        <w:t xml:space="preserve">post-procedure planning windows</w:t>
      </w:r>
    </w:p>
    <w:p>
      <w:pPr>
        <w:pStyle w:val="Compact"/>
        <w:numPr>
          <w:ilvl w:val="0"/>
          <w:numId w:val="1016"/>
        </w:numPr>
      </w:pPr>
      <w:r>
        <w:t xml:space="preserve">“work backward from date”</w:t>
      </w:r>
      <w:r>
        <w:t xml:space="preserve"> </w:t>
      </w:r>
      <w:r>
        <w:t xml:space="preserve">logic</w:t>
      </w:r>
    </w:p>
    <w:bookmarkEnd w:id="47"/>
    <w:bookmarkStart w:id="48" w:name="implementation-rule-2"/>
    <w:p>
      <w:pPr>
        <w:pStyle w:val="Heading2"/>
      </w:pPr>
      <w:r>
        <w:t xml:space="preserve">Implementation Rule</w:t>
      </w:r>
    </w:p>
    <w:p>
      <w:pPr>
        <w:pStyle w:val="FirstParagraph"/>
      </w:pPr>
      <w:r>
        <w:t xml:space="preserve">Do not build an event calculator in Phase 7.</w:t>
      </w:r>
    </w:p>
    <w:p>
      <w:pPr>
        <w:pStyle w:val="BodyText"/>
      </w:pPr>
      <w:r>
        <w:t xml:space="preserve">Do make sure Phase 7 stores enough structured timing data that Phase 9 can build one.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staging-and-sequencing"/>
    <w:p>
      <w:pPr>
        <w:pStyle w:val="Heading1"/>
      </w:pPr>
      <w:r>
        <w:t xml:space="preserve">3. Staging and Sequencing</w:t>
      </w:r>
    </w:p>
    <w:bookmarkStart w:id="50" w:name="q3.1-sequencing-representation"/>
    <w:p>
      <w:pPr>
        <w:pStyle w:val="Heading2"/>
      </w:pPr>
      <w:r>
        <w:t xml:space="preserve">Q3.1 — Sequencing Representation</w:t>
      </w:r>
    </w:p>
    <w:p>
      <w:pPr>
        <w:pStyle w:val="FirstParagraph"/>
      </w:pPr>
      <w:r>
        <w:rPr>
          <w:b/>
          <w:bCs/>
        </w:rPr>
        <w:t xml:space="preserve">Final answer: C — Structured fields plus prose rationale.</w:t>
      </w:r>
    </w:p>
    <w:p>
      <w:pPr>
        <w:pStyle w:val="BodyText"/>
      </w:pPr>
      <w:r>
        <w:t xml:space="preserve">Use structured fields for queryability and prose fields for agent explanation.</w:t>
      </w:r>
    </w:p>
    <w:bookmarkEnd w:id="50"/>
    <w:bookmarkStart w:id="51" w:name="required-pair-level-sequencing-fields"/>
    <w:p>
      <w:pPr>
        <w:pStyle w:val="Heading2"/>
      </w:pPr>
      <w:r>
        <w:t xml:space="preserve">Required Pair-Level Sequencing Fields</w:t>
      </w:r>
    </w:p>
    <w:p>
      <w:pPr>
        <w:pStyle w:val="SourceCode"/>
      </w:pPr>
      <w:r>
        <w:rPr>
          <w:rStyle w:val="NormalTok"/>
        </w:rPr>
        <w:t xml:space="preserve">staging_required</w:t>
      </w:r>
      <w:r>
        <w:br/>
      </w:r>
      <w:r>
        <w:rPr>
          <w:rStyle w:val="NormalTok"/>
        </w:rPr>
        <w:t xml:space="preserve">staging_sequence</w:t>
      </w:r>
      <w:r>
        <w:br/>
      </w:r>
      <w:r>
        <w:rPr>
          <w:rStyle w:val="NormalTok"/>
        </w:rPr>
        <w:t xml:space="preserve">staging_interval_days_min</w:t>
      </w:r>
      <w:r>
        <w:br/>
      </w:r>
      <w:r>
        <w:rPr>
          <w:rStyle w:val="NormalTok"/>
        </w:rPr>
        <w:t xml:space="preserve">staging_interval_days_max</w:t>
      </w:r>
      <w:r>
        <w:br/>
      </w:r>
      <w:r>
        <w:rPr>
          <w:rStyle w:val="NormalTok"/>
        </w:rPr>
        <w:t xml:space="preserve">staging_rationale</w:t>
      </w:r>
    </w:p>
    <w:bookmarkEnd w:id="51"/>
    <w:bookmarkStart w:id="52" w:name="X41ed0b001e7ef45e2a2d096c6461576c557b759"/>
    <w:p>
      <w:pPr>
        <w:pStyle w:val="Heading2"/>
      </w:pPr>
      <w:r>
        <w:t xml:space="preserve">Recommended Enum Values for</w:t>
      </w:r>
      <w:r>
        <w:t xml:space="preserve"> </w:t>
      </w:r>
      <w:r>
        <w:rPr>
          <w:rStyle w:val="VerbatimChar"/>
        </w:rPr>
        <w:t xml:space="preserve">staging_sequence</w:t>
      </w:r>
    </w:p>
    <w:p>
      <w:pPr>
        <w:pStyle w:val="SourceCode"/>
      </w:pPr>
      <w:r>
        <w:rPr>
          <w:rStyle w:val="VerbatimChar"/>
        </w:rPr>
        <w:t xml:space="preserve">product_a_first</w:t>
      </w:r>
      <w:r>
        <w:br/>
      </w:r>
      <w:r>
        <w:rPr>
          <w:rStyle w:val="VerbatimChar"/>
        </w:rPr>
        <w:t xml:space="preserve">product_b_first</w:t>
      </w:r>
      <w:r>
        <w:br/>
      </w:r>
      <w:r>
        <w:rPr>
          <w:rStyle w:val="VerbatimChar"/>
        </w:rPr>
        <w:t xml:space="preserve">either_order</w:t>
      </w:r>
      <w:r>
        <w:br/>
      </w:r>
      <w:r>
        <w:rPr>
          <w:rStyle w:val="VerbatimChar"/>
        </w:rPr>
        <w:t xml:space="preserve">same_session_sequence</w:t>
      </w:r>
      <w:r>
        <w:br/>
      </w:r>
      <w:r>
        <w:rPr>
          <w:rStyle w:val="VerbatimChar"/>
        </w:rPr>
        <w:t xml:space="preserve">not_applicable</w:t>
      </w:r>
    </w:p>
    <w:bookmarkEnd w:id="52"/>
    <w:bookmarkStart w:id="53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staging_required: true</w:t>
      </w:r>
      <w:r>
        <w:br/>
      </w:r>
      <w:r>
        <w:rPr>
          <w:rStyle w:val="VerbatimChar"/>
        </w:rPr>
        <w:t xml:space="preserve">staging_sequence: product_a_first</w:t>
      </w:r>
      <w:r>
        <w:br/>
      </w:r>
      <w:r>
        <w:rPr>
          <w:rStyle w:val="VerbatimChar"/>
        </w:rPr>
        <w:t xml:space="preserve">staging_interval_days_min: 28</w:t>
      </w:r>
      <w:r>
        <w:br/>
      </w:r>
      <w:r>
        <w:rPr>
          <w:rStyle w:val="VerbatimChar"/>
        </w:rPr>
        <w:t xml:space="preserve">staging_interval_days_max: 56</w:t>
      </w:r>
      <w:r>
        <w:br/>
      </w:r>
      <w:r>
        <w:rPr>
          <w:rStyle w:val="VerbatimChar"/>
        </w:rPr>
        <w:t xml:space="preserve">staging_rationale: "Build collagen foundation first, then refine structure or contour."</w:t>
      </w:r>
    </w:p>
    <w:p>
      <w:r>
        <w:pict>
          <v:rect style="width:0;height:1.5pt" o:hralign="center" o:hrstd="t" o:hr="t"/>
        </w:pict>
      </w:r>
    </w:p>
    <w:bookmarkEnd w:id="53"/>
    <w:bookmarkStart w:id="54" w:name="q3.2-concern-dependent-sequencing"/>
    <w:p>
      <w:pPr>
        <w:pStyle w:val="Heading2"/>
      </w:pPr>
      <w:r>
        <w:t xml:space="preserve">Q3.2 — Concern-Dependent Sequencing</w:t>
      </w:r>
    </w:p>
    <w:p>
      <w:pPr>
        <w:pStyle w:val="FirstParagraph"/>
      </w:pPr>
      <w:r>
        <w:rPr>
          <w:b/>
          <w:bCs/>
        </w:rPr>
        <w:t xml:space="preserve">Final answer: A — One sequence rule per pair for now, with notes for exceptions.</w:t>
      </w:r>
    </w:p>
    <w:p>
      <w:pPr>
        <w:pStyle w:val="BodyText"/>
      </w:pPr>
      <w:r>
        <w:t xml:space="preserve">Do not create concern-dependent sequencing in Phase 7.</w:t>
      </w:r>
    </w:p>
    <w:bookmarkEnd w:id="54"/>
    <w:bookmarkStart w:id="55" w:name="rationale-1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Most sequencing rules identified are pair-specific rather than concern-specific. If a sequence varies by anatomy, concern, or goal, capture that nuance in</w:t>
      </w:r>
      <w:r>
        <w:t xml:space="preserve"> </w:t>
      </w:r>
      <w:r>
        <w:rPr>
          <w:rStyle w:val="VerbatimChar"/>
        </w:rPr>
        <w:t xml:space="preserve">staging_rationale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timing_notes</w:t>
      </w:r>
      <w:r>
        <w:t xml:space="preserve">.</w:t>
      </w:r>
    </w:p>
    <w:bookmarkEnd w:id="55"/>
    <w:bookmarkStart w:id="56" w:name="deferred-1"/>
    <w:p>
      <w:pPr>
        <w:pStyle w:val="Heading2"/>
      </w:pPr>
      <w:r>
        <w:t xml:space="preserve">Deferred</w:t>
      </w:r>
    </w:p>
    <w:p>
      <w:pPr>
        <w:pStyle w:val="FirstParagraph"/>
      </w:pPr>
      <w:r>
        <w:t xml:space="preserve">Concern-dependent sequencing belongs in Phase 9 care plans if it becomes necessary.</w:t>
      </w:r>
    </w:p>
    <w:p>
      <w:r>
        <w:pict>
          <v:rect style="width:0;height:1.5pt" o:hralign="center" o:hrstd="t" o:hr="t"/>
        </w:pict>
      </w:r>
    </w:p>
    <w:bookmarkEnd w:id="56"/>
    <w:bookmarkStart w:id="57" w:name="q3.3-thermal-energy-device-sequencing"/>
    <w:p>
      <w:pPr>
        <w:pStyle w:val="Heading2"/>
      </w:pPr>
      <w:r>
        <w:t xml:space="preserve">Q3.3 — Thermal / Energy Device Sequencing</w:t>
      </w:r>
    </w:p>
    <w:p>
      <w:pPr>
        <w:pStyle w:val="FirstParagraph"/>
      </w:pPr>
      <w:r>
        <w:rPr>
          <w:b/>
          <w:bCs/>
        </w:rPr>
        <w:t xml:space="preserve">Final answer: C — Capture in pair-level sequencing notes, not schema.</w:t>
      </w:r>
    </w:p>
    <w:p>
      <w:pPr>
        <w:pStyle w:val="BodyText"/>
      </w:pPr>
      <w:r>
        <w:t xml:space="preserve">Energy sequencing principles are useful but should not become a formal product-level attribute yet.</w:t>
      </w:r>
    </w:p>
    <w:bookmarkEnd w:id="57"/>
    <w:bookmarkStart w:id="58" w:name="implementation-rule-3"/>
    <w:p>
      <w:pPr>
        <w:pStyle w:val="Heading2"/>
      </w:pPr>
      <w:r>
        <w:t xml:space="preserve">Implementation Rule</w:t>
      </w:r>
    </w:p>
    <w:p>
      <w:pPr>
        <w:pStyle w:val="FirstParagraph"/>
      </w:pPr>
      <w:r>
        <w:t xml:space="preserve">Do not add:</w:t>
      </w:r>
    </w:p>
    <w:p>
      <w:pPr>
        <w:pStyle w:val="SourceCode"/>
      </w:pPr>
      <w:r>
        <w:rPr>
          <w:rStyle w:val="NormalTok"/>
        </w:rPr>
        <w:t xml:space="preserve">thermal_tier</w:t>
      </w:r>
      <w:r>
        <w:br/>
      </w:r>
      <w:r>
        <w:rPr>
          <w:rStyle w:val="NormalTok"/>
        </w:rPr>
        <w:t xml:space="preserve">energy_level</w:t>
      </w:r>
      <w:r>
        <w:br/>
      </w:r>
      <w:r>
        <w:rPr>
          <w:rStyle w:val="NormalTok"/>
        </w:rPr>
        <w:t xml:space="preserve">heat_depth</w:t>
      </w:r>
    </w:p>
    <w:p>
      <w:pPr>
        <w:pStyle w:val="FirstParagraph"/>
      </w:pPr>
      <w:r>
        <w:t xml:space="preserve">in Phase 7.</w:t>
      </w:r>
    </w:p>
    <w:p>
      <w:pPr>
        <w:pStyle w:val="BodyText"/>
      </w:pPr>
      <w:r>
        <w:t xml:space="preserve">Instead, use:</w:t>
      </w:r>
    </w:p>
    <w:p>
      <w:pPr>
        <w:pStyle w:val="SourceCode"/>
      </w:pPr>
      <w:r>
        <w:rPr>
          <w:rStyle w:val="NormalTok"/>
        </w:rPr>
        <w:t xml:space="preserve">staging_rationale</w:t>
      </w:r>
      <w:r>
        <w:br/>
      </w:r>
      <w:r>
        <w:rPr>
          <w:rStyle w:val="NormalTok"/>
        </w:rPr>
        <w:t xml:space="preserve">timing_notes</w:t>
      </w:r>
    </w:p>
    <w:p>
      <w:pPr>
        <w:pStyle w:val="FirstParagraph"/>
      </w:pPr>
      <w:r>
        <w:t xml:space="preserve">to capture concepts such as:</w:t>
      </w:r>
    </w:p>
    <w:p>
      <w:pPr>
        <w:pStyle w:val="Compact"/>
        <w:numPr>
          <w:ilvl w:val="0"/>
          <w:numId w:val="1017"/>
        </w:numPr>
      </w:pPr>
      <w:r>
        <w:t xml:space="preserve">deeper energy before superficial energy</w:t>
      </w:r>
    </w:p>
    <w:p>
      <w:pPr>
        <w:pStyle w:val="Compact"/>
        <w:numPr>
          <w:ilvl w:val="0"/>
          <w:numId w:val="1017"/>
        </w:numPr>
      </w:pPr>
      <w:r>
        <w:t xml:space="preserve">device before topical regenerative application</w:t>
      </w:r>
    </w:p>
    <w:p>
      <w:pPr>
        <w:pStyle w:val="Compact"/>
        <w:numPr>
          <w:ilvl w:val="0"/>
          <w:numId w:val="1017"/>
        </w:numPr>
      </w:pPr>
      <w:r>
        <w:t xml:space="preserve">resurfacing before final injectable refinement when clinically appropriate</w:t>
      </w:r>
    </w:p>
    <w:p>
      <w:pPr>
        <w:pStyle w:val="Compact"/>
        <w:numPr>
          <w:ilvl w:val="0"/>
          <w:numId w:val="1017"/>
        </w:numPr>
      </w:pPr>
      <w:r>
        <w:t xml:space="preserve">avoiding excessive stacking when tissue response or downtime is a concern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downtime-and-recovery"/>
    <w:p>
      <w:pPr>
        <w:pStyle w:val="Heading1"/>
      </w:pPr>
      <w:r>
        <w:t xml:space="preserve">4. Downtime and Recovery</w:t>
      </w:r>
    </w:p>
    <w:bookmarkStart w:id="60" w:name="q4.1-structured-downtime"/>
    <w:p>
      <w:pPr>
        <w:pStyle w:val="Heading2"/>
      </w:pPr>
      <w:r>
        <w:t xml:space="preserve">Q4.1 — Structured Downtime</w:t>
      </w:r>
    </w:p>
    <w:p>
      <w:pPr>
        <w:pStyle w:val="FirstParagraph"/>
      </w:pPr>
      <w:r>
        <w:rPr>
          <w:b/>
          <w:bCs/>
        </w:rPr>
        <w:t xml:space="preserve">Final answer: A + C — Product-level baseline plus pair-level combined impact.</w:t>
      </w:r>
    </w:p>
    <w:bookmarkEnd w:id="60"/>
    <w:bookmarkStart w:id="61" w:name="product-level-downtime-fields"/>
    <w:p>
      <w:pPr>
        <w:pStyle w:val="Heading2"/>
      </w:pPr>
      <w:r>
        <w:t xml:space="preserve">Product-Level Downtime Fields</w:t>
      </w:r>
    </w:p>
    <w:p>
      <w:pPr>
        <w:pStyle w:val="SourceCode"/>
      </w:pPr>
      <w:r>
        <w:rPr>
          <w:rStyle w:val="NormalTok"/>
        </w:rPr>
        <w:t xml:space="preserve">downtime_days_min</w:t>
      </w:r>
      <w:r>
        <w:br/>
      </w:r>
      <w:r>
        <w:rPr>
          <w:rStyle w:val="NormalTok"/>
        </w:rPr>
        <w:t xml:space="preserve">downtime_days_max</w:t>
      </w:r>
      <w:r>
        <w:br/>
      </w:r>
      <w:r>
        <w:rPr>
          <w:rStyle w:val="NormalTok"/>
        </w:rPr>
        <w:t xml:space="preserve">downtime_description</w:t>
      </w:r>
    </w:p>
    <w:bookmarkEnd w:id="61"/>
    <w:bookmarkStart w:id="62" w:name="pair-level-downtime-field"/>
    <w:p>
      <w:pPr>
        <w:pStyle w:val="Heading2"/>
      </w:pPr>
      <w:r>
        <w:t xml:space="preserve">Pair-Level Downtime Field</w:t>
      </w:r>
    </w:p>
    <w:p>
      <w:pPr>
        <w:pStyle w:val="SourceCode"/>
      </w:pPr>
      <w:r>
        <w:rPr>
          <w:rStyle w:val="NormalTok"/>
        </w:rPr>
        <w:t xml:space="preserve">combined_downtime_note</w:t>
      </w:r>
    </w:p>
    <w:bookmarkEnd w:id="62"/>
    <w:bookmarkStart w:id="63" w:name="why-both-are-needed"/>
    <w:p>
      <w:pPr>
        <w:pStyle w:val="Heading2"/>
      </w:pPr>
      <w:r>
        <w:t xml:space="preserve">Why Both Are Needed</w:t>
      </w:r>
    </w:p>
    <w:p>
      <w:pPr>
        <w:pStyle w:val="FirstParagraph"/>
      </w:pPr>
      <w:r>
        <w:t xml:space="preserve">Product-level downtime answers:</w:t>
      </w:r>
    </w:p>
    <w:p>
      <w:pPr>
        <w:pStyle w:val="SourceCode"/>
      </w:pPr>
      <w:r>
        <w:rPr>
          <w:rStyle w:val="VerbatimChar"/>
        </w:rPr>
        <w:t xml:space="preserve">What should the patient expect from this treatment alone?</w:t>
      </w:r>
    </w:p>
    <w:p>
      <w:pPr>
        <w:pStyle w:val="FirstParagraph"/>
      </w:pPr>
      <w:r>
        <w:t xml:space="preserve">Pair-level downtime answers:</w:t>
      </w:r>
    </w:p>
    <w:p>
      <w:pPr>
        <w:pStyle w:val="SourceCode"/>
      </w:pPr>
      <w:r>
        <w:rPr>
          <w:rStyle w:val="VerbatimChar"/>
        </w:rPr>
        <w:t xml:space="preserve">Does combining treatments change recovery expectations?</w:t>
      </w:r>
    </w:p>
    <w:bookmarkEnd w:id="63"/>
    <w:bookmarkStart w:id="64" w:name="product-level-examples"/>
    <w:p>
      <w:pPr>
        <w:pStyle w:val="Heading2"/>
      </w:pPr>
      <w:r>
        <w:t xml:space="preserve">Product-Level Examples</w:t>
      </w:r>
    </w:p>
    <w:p>
      <w:pPr>
        <w:pStyle w:val="SourceCode"/>
      </w:pPr>
      <w:r>
        <w:rPr>
          <w:rStyle w:val="VerbatimChar"/>
        </w:rPr>
        <w:t xml:space="preserve">Neurotoxin:</w:t>
      </w:r>
      <w:r>
        <w:br/>
      </w:r>
      <w:r>
        <w:rPr>
          <w:rStyle w:val="VerbatimChar"/>
        </w:rPr>
        <w:t xml:space="preserve">downtime_days_min = 0</w:t>
      </w:r>
      <w:r>
        <w:br/>
      </w:r>
      <w:r>
        <w:rPr>
          <w:rStyle w:val="VerbatimChar"/>
        </w:rPr>
        <w:t xml:space="preserve">downtime_days_max = 0</w:t>
      </w:r>
      <w:r>
        <w:br/>
      </w:r>
      <w:r>
        <w:rPr>
          <w:rStyle w:val="VerbatimChar"/>
        </w:rPr>
        <w:t xml:space="preserve">downtime_description = "No expected social downtime; minor injection-site redness possible."</w:t>
      </w:r>
      <w:r>
        <w:br/>
      </w:r>
      <w:r>
        <w:br/>
      </w:r>
      <w:r>
        <w:rPr>
          <w:rStyle w:val="VerbatimChar"/>
        </w:rPr>
        <w:t xml:space="preserve">HA filler:</w:t>
      </w:r>
      <w:r>
        <w:br/>
      </w:r>
      <w:r>
        <w:rPr>
          <w:rStyle w:val="VerbatimChar"/>
        </w:rPr>
        <w:t xml:space="preserve">downtime_days_min = 1</w:t>
      </w:r>
      <w:r>
        <w:br/>
      </w:r>
      <w:r>
        <w:rPr>
          <w:rStyle w:val="VerbatimChar"/>
        </w:rPr>
        <w:t xml:space="preserve">downtime_days_max = 3</w:t>
      </w:r>
      <w:r>
        <w:br/>
      </w:r>
      <w:r>
        <w:rPr>
          <w:rStyle w:val="VerbatimChar"/>
        </w:rPr>
        <w:t xml:space="preserve">downtime_description = "Swelling and bruising are possible; lips may swell more than midface areas."</w:t>
      </w:r>
      <w:r>
        <w:br/>
      </w:r>
      <w:r>
        <w:br/>
      </w:r>
      <w:r>
        <w:rPr>
          <w:rStyle w:val="VerbatimChar"/>
        </w:rPr>
        <w:t xml:space="preserve">RF microneedling:</w:t>
      </w:r>
      <w:r>
        <w:br/>
      </w:r>
      <w:r>
        <w:rPr>
          <w:rStyle w:val="VerbatimChar"/>
        </w:rPr>
        <w:t xml:space="preserve">downtime_days_min = 1</w:t>
      </w:r>
      <w:r>
        <w:br/>
      </w:r>
      <w:r>
        <w:rPr>
          <w:rStyle w:val="VerbatimChar"/>
        </w:rPr>
        <w:t xml:space="preserve">downtime_days_max = 5</w:t>
      </w:r>
      <w:r>
        <w:br/>
      </w:r>
      <w:r>
        <w:rPr>
          <w:rStyle w:val="VerbatimChar"/>
        </w:rPr>
        <w:t xml:space="preserve">downtime_description = "Redness, swelling, and mild roughness may occur during early healing."</w:t>
      </w:r>
    </w:p>
    <w:p>
      <w:r>
        <w:pict>
          <v:rect style="width:0;height:1.5pt" o:hralign="center" o:hrstd="t" o:hr="t"/>
        </w:pict>
      </w:r>
    </w:p>
    <w:bookmarkEnd w:id="64"/>
    <w:bookmarkStart w:id="65" w:name="q4.2-combined-downtime-model"/>
    <w:p>
      <w:pPr>
        <w:pStyle w:val="Heading2"/>
      </w:pPr>
      <w:r>
        <w:t xml:space="preserve">Q4.2 — Combined Downtime Model</w:t>
      </w:r>
    </w:p>
    <w:p>
      <w:pPr>
        <w:pStyle w:val="FirstParagraph"/>
      </w:pPr>
      <w:r>
        <w:rPr>
          <w:b/>
          <w:bCs/>
        </w:rPr>
        <w:t xml:space="preserve">Final answer: C for canonical/common pairs; B as fallback.</w:t>
      </w:r>
    </w:p>
    <w:p>
      <w:pPr>
        <w:pStyle w:val="BodyText"/>
      </w:pPr>
      <w:r>
        <w:t xml:space="preserve">Use this rule:</w:t>
      </w:r>
    </w:p>
    <w:p>
      <w:pPr>
        <w:pStyle w:val="SourceCode"/>
      </w:pPr>
      <w:r>
        <w:rPr>
          <w:rStyle w:val="VerbatimChar"/>
        </w:rPr>
        <w:t xml:space="preserve">Default combined downtime = max(product_a downtime, product_b downtime)</w:t>
      </w:r>
    </w:p>
    <w:p>
      <w:pPr>
        <w:pStyle w:val="FirstParagraph"/>
      </w:pPr>
      <w:r>
        <w:t xml:space="preserve">For canonical/common combinations, override with an expert-determined</w:t>
      </w:r>
      <w:r>
        <w:t xml:space="preserve"> </w:t>
      </w:r>
      <w:r>
        <w:rPr>
          <w:rStyle w:val="VerbatimChar"/>
        </w:rPr>
        <w:t xml:space="preserve">combined_downtime_note</w:t>
      </w:r>
      <w:r>
        <w:t xml:space="preserve"> </w:t>
      </w:r>
      <w:r>
        <w:t xml:space="preserve">where available.</w:t>
      </w:r>
    </w:p>
    <w:bookmarkEnd w:id="65"/>
    <w:bookmarkStart w:id="66" w:name="do-not-sum-downtime-by-default"/>
    <w:p>
      <w:pPr>
        <w:pStyle w:val="Heading2"/>
      </w:pPr>
      <w:r>
        <w:t xml:space="preserve">Do Not Sum Downtime by Default</w:t>
      </w:r>
    </w:p>
    <w:p>
      <w:pPr>
        <w:pStyle w:val="FirstParagraph"/>
      </w:pPr>
      <w:r>
        <w:t xml:space="preserve">Do not calculate:</w:t>
      </w:r>
    </w:p>
    <w:p>
      <w:pPr>
        <w:pStyle w:val="SourceCode"/>
      </w:pPr>
      <w:r>
        <w:rPr>
          <w:rStyle w:val="VerbatimChar"/>
        </w:rPr>
        <w:t xml:space="preserve">combined downtime = product A downtime + product B downtime</w:t>
      </w:r>
    </w:p>
    <w:p>
      <w:pPr>
        <w:pStyle w:val="FirstParagraph"/>
      </w:pPr>
      <w:r>
        <w:t xml:space="preserve">That will often overstate downtime because recovery windows overlap.</w:t>
      </w:r>
    </w:p>
    <w:bookmarkEnd w:id="66"/>
    <w:bookmarkStart w:id="67" w:name="exception"/>
    <w:p>
      <w:pPr>
        <w:pStyle w:val="Heading2"/>
      </w:pPr>
      <w:r>
        <w:t xml:space="preserve">Exception</w:t>
      </w:r>
    </w:p>
    <w:p>
      <w:pPr>
        <w:pStyle w:val="FirstParagraph"/>
      </w:pPr>
      <w:r>
        <w:t xml:space="preserve">Where combining treatments meaningfully increases inflammation, swelling, or social downtime, document that in</w:t>
      </w:r>
      <w:r>
        <w:t xml:space="preserve"> </w:t>
      </w:r>
      <w:r>
        <w:rPr>
          <w:rStyle w:val="VerbatimChar"/>
        </w:rPr>
        <w:t xml:space="preserve">combined_downtime_note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"Expect downtime to follow the more intensive component of the visit. Because these treatments are combined, swelling/redness may be more noticeable during the first several days."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contraindication-timing"/>
    <w:p>
      <w:pPr>
        <w:pStyle w:val="Heading1"/>
      </w:pPr>
      <w:r>
        <w:t xml:space="preserve">5. Contraindication Timing</w:t>
      </w:r>
    </w:p>
    <w:bookmarkStart w:id="69" w:name="q5.1-timing-contraindication-structure"/>
    <w:p>
      <w:pPr>
        <w:pStyle w:val="Heading2"/>
      </w:pPr>
      <w:r>
        <w:t xml:space="preserve">Q5.1 — Timing Contraindication Structure</w:t>
      </w:r>
    </w:p>
    <w:p>
      <w:pPr>
        <w:pStyle w:val="FirstParagraph"/>
      </w:pPr>
      <w:r>
        <w:rPr>
          <w:b/>
          <w:bCs/>
        </w:rPr>
        <w:t xml:space="preserve">Final answer: C — Pair-level fields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safety_critical</w:t>
      </w:r>
      <w:r>
        <w:rPr>
          <w:b/>
          <w:bCs/>
        </w:rPr>
        <w:t xml:space="preserve"> </w:t>
      </w:r>
      <w:r>
        <w:rPr>
          <w:b/>
          <w:bCs/>
        </w:rPr>
        <w:t xml:space="preserve">flag.</w:t>
      </w:r>
    </w:p>
    <w:p>
      <w:pPr>
        <w:pStyle w:val="BodyText"/>
      </w:pPr>
      <w:r>
        <w:t xml:space="preserve">Do not create a separate</w:t>
      </w:r>
      <w:r>
        <w:t xml:space="preserve"> </w:t>
      </w:r>
      <w:r>
        <w:rPr>
          <w:rStyle w:val="VerbatimChar"/>
        </w:rPr>
        <w:t xml:space="preserve">timing_contraindications</w:t>
      </w:r>
      <w:r>
        <w:t xml:space="preserve"> </w:t>
      </w:r>
      <w:r>
        <w:t xml:space="preserve">table in Phase 7.</w:t>
      </w:r>
    </w:p>
    <w:bookmarkEnd w:id="69"/>
    <w:bookmarkStart w:id="70" w:name="rationale-2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The number of true timing contraindications is small enough to fit into pair-level timing fields. A separate table would add complexity and create more joins for runtime agents.</w:t>
      </w:r>
    </w:p>
    <w:bookmarkEnd w:id="70"/>
    <w:bookmarkStart w:id="71" w:name="required-pair-level-safety-fields"/>
    <w:p>
      <w:pPr>
        <w:pStyle w:val="Heading2"/>
      </w:pPr>
      <w:r>
        <w:t xml:space="preserve">Required Pair-Level Safety Fields</w:t>
      </w:r>
    </w:p>
    <w:p>
      <w:pPr>
        <w:pStyle w:val="SourceCode"/>
      </w:pPr>
      <w:r>
        <w:rPr>
          <w:rStyle w:val="NormalTok"/>
        </w:rPr>
        <w:t xml:space="preserve">safety_critical</w:t>
      </w:r>
      <w:r>
        <w:br/>
      </w:r>
      <w:r>
        <w:rPr>
          <w:rStyle w:val="NormalTok"/>
        </w:rPr>
        <w:t xml:space="preserve">timing_warning_level</w:t>
      </w:r>
      <w:r>
        <w:br/>
      </w:r>
      <w:r>
        <w:rPr>
          <w:rStyle w:val="NormalTok"/>
        </w:rPr>
        <w:t xml:space="preserve">timing_notes</w:t>
      </w:r>
    </w:p>
    <w:bookmarkEnd w:id="71"/>
    <w:bookmarkStart w:id="72" w:name="recommended-timing_warning_level-values"/>
    <w:p>
      <w:pPr>
        <w:pStyle w:val="Heading2"/>
      </w:pPr>
      <w:r>
        <w:t xml:space="preserve">Recommended</w:t>
      </w:r>
      <w:r>
        <w:t xml:space="preserve"> </w:t>
      </w:r>
      <w:r>
        <w:rPr>
          <w:rStyle w:val="VerbatimChar"/>
        </w:rPr>
        <w:t xml:space="preserve">timing_warning_level</w:t>
      </w:r>
      <w:r>
        <w:t xml:space="preserve"> </w:t>
      </w:r>
      <w:r>
        <w:t xml:space="preserve">Values</w:t>
      </w:r>
    </w:p>
    <w:p>
      <w:pPr>
        <w:pStyle w:val="SourceCode"/>
      </w:pPr>
      <w:r>
        <w:rPr>
          <w:rStyle w:val="VerbatimChar"/>
        </w:rPr>
        <w:t xml:space="preserve">hard_block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education</w:t>
      </w:r>
    </w:p>
    <w:bookmarkEnd w:id="72"/>
    <w:bookmarkStart w:id="76" w:name="classification-rules"/>
    <w:p>
      <w:pPr>
        <w:pStyle w:val="Heading2"/>
      </w:pPr>
      <w:r>
        <w:t xml:space="preserve">Classification Rules</w:t>
      </w:r>
    </w:p>
    <w:bookmarkStart w:id="73" w:name="hard_block"/>
    <w:p>
      <w:pPr>
        <w:pStyle w:val="Heading3"/>
      </w:pPr>
      <w:r>
        <w:t xml:space="preserve">hard_block</w:t>
      </w:r>
    </w:p>
    <w:p>
      <w:pPr>
        <w:pStyle w:val="FirstParagraph"/>
      </w:pPr>
      <w:r>
        <w:t xml:space="preserve">Use when same-session or repeat treatment should not be allowed.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pharmacologic conflict</w:t>
      </w:r>
    </w:p>
    <w:p>
      <w:pPr>
        <w:pStyle w:val="Compact"/>
        <w:numPr>
          <w:ilvl w:val="0"/>
          <w:numId w:val="1018"/>
        </w:numPr>
      </w:pPr>
      <w:r>
        <w:t xml:space="preserve">formal contraindication</w:t>
      </w:r>
    </w:p>
    <w:p>
      <w:pPr>
        <w:pStyle w:val="Compact"/>
        <w:numPr>
          <w:ilvl w:val="0"/>
          <w:numId w:val="1018"/>
        </w:numPr>
      </w:pPr>
      <w:r>
        <w:t xml:space="preserve">hard minimum retreatment interval</w:t>
      </w:r>
    </w:p>
    <w:p>
      <w:pPr>
        <w:pStyle w:val="Compact"/>
        <w:numPr>
          <w:ilvl w:val="0"/>
          <w:numId w:val="1018"/>
        </w:numPr>
      </w:pPr>
      <w:r>
        <w:t xml:space="preserve">jurisdiction-specific prohibition if regional logic is enabled</w:t>
      </w:r>
    </w:p>
    <w:bookmarkEnd w:id="73"/>
    <w:bookmarkStart w:id="74" w:name="warning"/>
    <w:p>
      <w:pPr>
        <w:pStyle w:val="Heading3"/>
      </w:pPr>
      <w:r>
        <w:t xml:space="preserve">warning</w:t>
      </w:r>
    </w:p>
    <w:p>
      <w:pPr>
        <w:pStyle w:val="FirstParagraph"/>
      </w:pPr>
      <w:r>
        <w:t xml:space="preserve">Use when provider judgment is required.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dose threshold concern</w:t>
      </w:r>
    </w:p>
    <w:p>
      <w:pPr>
        <w:pStyle w:val="Compact"/>
        <w:numPr>
          <w:ilvl w:val="0"/>
          <w:numId w:val="1019"/>
        </w:numPr>
      </w:pPr>
      <w:r>
        <w:t xml:space="preserve">technique-sensitive sequencing</w:t>
      </w:r>
    </w:p>
    <w:p>
      <w:pPr>
        <w:pStyle w:val="Compact"/>
        <w:numPr>
          <w:ilvl w:val="0"/>
          <w:numId w:val="1019"/>
        </w:numPr>
      </w:pPr>
      <w:r>
        <w:t xml:space="preserve">combined downtime risk</w:t>
      </w:r>
    </w:p>
    <w:p>
      <w:pPr>
        <w:pStyle w:val="Compact"/>
        <w:numPr>
          <w:ilvl w:val="0"/>
          <w:numId w:val="1019"/>
        </w:numPr>
      </w:pPr>
      <w:r>
        <w:t xml:space="preserve">limited formal evidence</w:t>
      </w:r>
    </w:p>
    <w:p>
      <w:pPr>
        <w:pStyle w:val="Compact"/>
        <w:numPr>
          <w:ilvl w:val="0"/>
          <w:numId w:val="1019"/>
        </w:numPr>
      </w:pPr>
      <w:r>
        <w:t xml:space="preserve">conflicting practice norms</w:t>
      </w:r>
    </w:p>
    <w:bookmarkEnd w:id="74"/>
    <w:bookmarkStart w:id="75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t xml:space="preserve">Use when the rule is useful but not restrictive.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preferred ordering</w:t>
      </w:r>
    </w:p>
    <w:p>
      <w:pPr>
        <w:pStyle w:val="Compact"/>
        <w:numPr>
          <w:ilvl w:val="0"/>
          <w:numId w:val="1020"/>
        </w:numPr>
      </w:pPr>
      <w:r>
        <w:t xml:space="preserve">maintenance planning</w:t>
      </w:r>
    </w:p>
    <w:p>
      <w:pPr>
        <w:pStyle w:val="Compact"/>
        <w:numPr>
          <w:ilvl w:val="0"/>
          <w:numId w:val="1020"/>
        </w:numPr>
      </w:pPr>
      <w:r>
        <w:t xml:space="preserve">event timing</w:t>
      </w:r>
    </w:p>
    <w:p>
      <w:pPr>
        <w:pStyle w:val="Compact"/>
        <w:numPr>
          <w:ilvl w:val="0"/>
          <w:numId w:val="1020"/>
        </w:numPr>
      </w:pPr>
      <w:r>
        <w:t xml:space="preserve">“best results if spaced”</w:t>
      </w:r>
      <w:r>
        <w:t xml:space="preserve"> </w:t>
      </w:r>
      <w:r>
        <w:t xml:space="preserve">guidance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q5.2-safety-floor"/>
    <w:p>
      <w:pPr>
        <w:pStyle w:val="Heading2"/>
      </w:pPr>
      <w:r>
        <w:t xml:space="preserve">Q5.2 — Safety Floor</w:t>
      </w:r>
    </w:p>
    <w:p>
      <w:pPr>
        <w:pStyle w:val="FirstParagraph"/>
      </w:pPr>
      <w:r>
        <w:rPr>
          <w:b/>
          <w:bCs/>
        </w:rPr>
        <w:t xml:space="preserve">Final answer: C — Hybrid safety floor.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Evidence-backed hard stops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Provider-reviewable warnings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Education-only guidance</w:t>
      </w:r>
    </w:p>
    <w:bookmarkEnd w:id="77"/>
    <w:bookmarkStart w:id="78" w:name="safety-philosophy"/>
    <w:p>
      <w:pPr>
        <w:pStyle w:val="Heading2"/>
      </w:pPr>
      <w:r>
        <w:t xml:space="preserve">Safety Philosophy</w:t>
      </w:r>
    </w:p>
    <w:p>
      <w:pPr>
        <w:pStyle w:val="FirstParagraph"/>
      </w:pPr>
      <w:r>
        <w:t xml:space="preserve">A360 should be authoritative only where the formal evidence or labeling supports it.</w:t>
      </w:r>
    </w:p>
    <w:p>
      <w:pPr>
        <w:pStyle w:val="BodyText"/>
      </w:pPr>
      <w:r>
        <w:t xml:space="preserve">For all other areas, A360 should provide guidance using careful language:</w:t>
      </w:r>
    </w:p>
    <w:p>
      <w:pPr>
        <w:pStyle w:val="SourceCode"/>
      </w:pPr>
      <w:r>
        <w:rPr>
          <w:rStyle w:val="VerbatimChar"/>
        </w:rPr>
        <w:t xml:space="preserve">"Consider..."</w:t>
      </w:r>
      <w:r>
        <w:br/>
      </w:r>
      <w:r>
        <w:rPr>
          <w:rStyle w:val="VerbatimChar"/>
        </w:rPr>
        <w:t xml:space="preserve">"Often..."</w:t>
      </w:r>
      <w:r>
        <w:br/>
      </w:r>
      <w:r>
        <w:rPr>
          <w:rStyle w:val="VerbatimChar"/>
        </w:rPr>
        <w:t xml:space="preserve">"Commonly..."</w:t>
      </w:r>
      <w:r>
        <w:br/>
      </w:r>
      <w:r>
        <w:rPr>
          <w:rStyle w:val="VerbatimChar"/>
        </w:rPr>
        <w:t xml:space="preserve">"Provider assessment is recommended..."</w:t>
      </w:r>
      <w:r>
        <w:br/>
      </w:r>
      <w:r>
        <w:rPr>
          <w:rStyle w:val="VerbatimChar"/>
        </w:rPr>
        <w:t xml:space="preserve">"Timing may vary by product, anatomy, and treatment goal..."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"Always..."</w:t>
      </w:r>
      <w:r>
        <w:br/>
      </w:r>
      <w:r>
        <w:rPr>
          <w:rStyle w:val="VerbatimChar"/>
        </w:rPr>
        <w:t xml:space="preserve">"Never..."</w:t>
      </w:r>
      <w:r>
        <w:br/>
      </w:r>
      <w:r>
        <w:rPr>
          <w:rStyle w:val="VerbatimChar"/>
        </w:rPr>
        <w:t xml:space="preserve">"Guaranteed..."</w:t>
      </w:r>
      <w:r>
        <w:br/>
      </w:r>
      <w:r>
        <w:rPr>
          <w:rStyle w:val="VerbatimChar"/>
        </w:rPr>
        <w:t xml:space="preserve">"No risk..."</w:t>
      </w:r>
      <w:r>
        <w:br/>
      </w:r>
      <w:r>
        <w:rPr>
          <w:rStyle w:val="VerbatimChar"/>
        </w:rPr>
        <w:t xml:space="preserve">"No downtime..."</w:t>
      </w:r>
    </w:p>
    <w:p>
      <w:pPr>
        <w:pStyle w:val="FirstParagraph"/>
      </w:pPr>
      <w:r>
        <w:t xml:space="preserve">unless formal evidence or labeling supports the statement.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schema-decision"/>
    <w:p>
      <w:pPr>
        <w:pStyle w:val="Heading1"/>
      </w:pPr>
      <w:r>
        <w:t xml:space="preserve">6. Schema Decision</w:t>
      </w:r>
    </w:p>
    <w:bookmarkStart w:id="80" w:name="q6.1-new-table-or-extend-existing-tables"/>
    <w:p>
      <w:pPr>
        <w:pStyle w:val="Heading2"/>
      </w:pPr>
      <w:r>
        <w:t xml:space="preserve">Q6.1 — New Table or Extend Existing Tables</w:t>
      </w:r>
    </w:p>
    <w:p>
      <w:pPr>
        <w:pStyle w:val="FirstParagraph"/>
      </w:pPr>
      <w:r>
        <w:rPr>
          <w:b/>
          <w:bCs/>
        </w:rPr>
        <w:t xml:space="preserve">Final answer: Extend existing tables. No new timing table in Phase 7.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gl_products</w:t>
      </w:r>
      <w:r>
        <w:t xml:space="preserve"> </w:t>
      </w:r>
      <w:r>
        <w:t xml:space="preserve">or equivalent master product table for product-level cadence/downtime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item_relationships</w:t>
      </w:r>
      <w:r>
        <w:t xml:space="preserve"> </w:t>
      </w:r>
      <w:r>
        <w:t xml:space="preserve">for pair-level timing/same-session/staging/safety logic</w:t>
      </w:r>
    </w:p>
    <w:bookmarkEnd w:id="80"/>
    <w:bookmarkStart w:id="81" w:name="product-table-fields"/>
    <w:p>
      <w:pPr>
        <w:pStyle w:val="Heading2"/>
      </w:pPr>
      <w:r>
        <w:t xml:space="preserve">Product Table Fields</w:t>
      </w:r>
    </w:p>
    <w:p>
      <w:pPr>
        <w:pStyle w:val="FirstParagraph"/>
      </w:pPr>
      <w:r>
        <w:t xml:space="preserve">Add these fields to the product table: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initial_series_count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initial_interval_days_min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initial_interval_days_max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maintenance_interval_days_min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maintenance_interval_days_max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minimum_retreatment_days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typical_followup_days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downtime_days_min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downtime_days_max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downtime_description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cadence_notes TEXT;</w:t>
      </w:r>
    </w:p>
    <w:p>
      <w:pPr>
        <w:pStyle w:val="FirstParagraph"/>
      </w:pPr>
      <w:r>
        <w:t xml:space="preserve">If the actual product table is named differently, adapt the migration to the current schema.</w:t>
      </w:r>
    </w:p>
    <w:bookmarkEnd w:id="81"/>
    <w:bookmarkStart w:id="82" w:name="relationship-table-fields"/>
    <w:p>
      <w:pPr>
        <w:pStyle w:val="Heading2"/>
      </w:pPr>
      <w:r>
        <w:t xml:space="preserve">Relationship Table Fields</w:t>
      </w:r>
    </w:p>
    <w:p>
      <w:pPr>
        <w:pStyle w:val="FirstParagraph"/>
      </w:pPr>
      <w:r>
        <w:t xml:space="preserve">Add these fields to</w:t>
      </w:r>
      <w:r>
        <w:t xml:space="preserve"> </w:t>
      </w:r>
      <w:r>
        <w:rPr>
          <w:rStyle w:val="VerbatimChar"/>
        </w:rPr>
        <w:t xml:space="preserve">item_relationships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same_session_ok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same_session_rationale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staging_required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staging_sequence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staging_interval_days_min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staging_interval_days_max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staging_rationale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combined_downtime_note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safety_critical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timing_warning_level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item_relationships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timing_notes TEXT;</w:t>
      </w:r>
    </w:p>
    <w:bookmarkEnd w:id="82"/>
    <w:bookmarkStart w:id="83" w:name="optional-constraints"/>
    <w:p>
      <w:pPr>
        <w:pStyle w:val="Heading2"/>
      </w:pPr>
      <w:r>
        <w:t xml:space="preserve">Optional Constraints</w:t>
      </w:r>
    </w:p>
    <w:p>
      <w:pPr>
        <w:pStyle w:val="FirstParagraph"/>
      </w:pPr>
      <w:r>
        <w:t xml:space="preserve">Use check constraints only if they fit the current migration style.</w:t>
      </w:r>
    </w:p>
    <w:p>
      <w:pPr>
        <w:pStyle w:val="BodyText"/>
      </w:pPr>
      <w:r>
        <w:t xml:space="preserve">Suggested constraint: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timing_warning_level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timing_warning_level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'hard_block'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Suggested constraint: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staging_sequence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staging_sequence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'product_a_first'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'product_b_first'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'either_order'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'same_session_sequence'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'not_applicable'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minimal-viable-schema-option"/>
    <w:p>
      <w:pPr>
        <w:pStyle w:val="Heading1"/>
      </w:pPr>
      <w:r>
        <w:t xml:space="preserve">Minimal Viable Schema Option</w:t>
      </w:r>
    </w:p>
    <w:p>
      <w:pPr>
        <w:pStyle w:val="FirstParagraph"/>
      </w:pPr>
      <w:r>
        <w:t xml:space="preserve">If the full schema is too broad for this phase, use the minimal option below.</w:t>
      </w:r>
    </w:p>
    <w:bookmarkStart w:id="85" w:name="product-level-minimum"/>
    <w:p>
      <w:pPr>
        <w:pStyle w:val="Heading2"/>
      </w:pPr>
      <w:r>
        <w:t xml:space="preserve">Product-Level Minimum</w:t>
      </w:r>
    </w:p>
    <w:p>
      <w:pPr>
        <w:pStyle w:val="SourceCode"/>
      </w:pPr>
      <w:r>
        <w:rPr>
          <w:rStyle w:val="NormalTok"/>
        </w:rPr>
        <w:t xml:space="preserve">minimum_retreatment_days</w:t>
      </w:r>
      <w:r>
        <w:br/>
      </w:r>
      <w:r>
        <w:rPr>
          <w:rStyle w:val="NormalTok"/>
        </w:rPr>
        <w:t xml:space="preserve">maintenance_interval_days_min</w:t>
      </w:r>
      <w:r>
        <w:br/>
      </w:r>
      <w:r>
        <w:rPr>
          <w:rStyle w:val="NormalTok"/>
        </w:rPr>
        <w:t xml:space="preserve">maintenance_interval_days_max</w:t>
      </w:r>
      <w:r>
        <w:br/>
      </w:r>
      <w:r>
        <w:rPr>
          <w:rStyle w:val="NormalTok"/>
        </w:rPr>
        <w:t xml:space="preserve">downtime_days_min</w:t>
      </w:r>
      <w:r>
        <w:br/>
      </w:r>
      <w:r>
        <w:rPr>
          <w:rStyle w:val="NormalTok"/>
        </w:rPr>
        <w:t xml:space="preserve">downtime_days_max</w:t>
      </w:r>
      <w:r>
        <w:br/>
      </w:r>
      <w:r>
        <w:rPr>
          <w:rStyle w:val="NormalTok"/>
        </w:rPr>
        <w:t xml:space="preserve">cadence_notes</w:t>
      </w:r>
    </w:p>
    <w:bookmarkEnd w:id="85"/>
    <w:bookmarkStart w:id="86" w:name="pair-level-minimum"/>
    <w:p>
      <w:pPr>
        <w:pStyle w:val="Heading2"/>
      </w:pPr>
      <w:r>
        <w:t xml:space="preserve">Pair-Level Minimum</w:t>
      </w:r>
    </w:p>
    <w:p>
      <w:pPr>
        <w:pStyle w:val="SourceCode"/>
      </w:pPr>
      <w:r>
        <w:rPr>
          <w:rStyle w:val="NormalTok"/>
        </w:rPr>
        <w:t xml:space="preserve">same_session_ok</w:t>
      </w:r>
      <w:r>
        <w:br/>
      </w:r>
      <w:r>
        <w:rPr>
          <w:rStyle w:val="NormalTok"/>
        </w:rPr>
        <w:t xml:space="preserve">same_session_rationale</w:t>
      </w:r>
      <w:r>
        <w:br/>
      </w:r>
      <w:r>
        <w:rPr>
          <w:rStyle w:val="NormalTok"/>
        </w:rPr>
        <w:t xml:space="preserve">safety_critical</w:t>
      </w:r>
      <w:r>
        <w:br/>
      </w:r>
      <w:r>
        <w:rPr>
          <w:rStyle w:val="NormalTok"/>
        </w:rPr>
        <w:t xml:space="preserve">timing_warning_level</w:t>
      </w:r>
      <w:r>
        <w:br/>
      </w:r>
      <w:r>
        <w:rPr>
          <w:rStyle w:val="NormalTok"/>
        </w:rPr>
        <w:t xml:space="preserve">timing_notes</w:t>
      </w:r>
    </w:p>
    <w:bookmarkEnd w:id="86"/>
    <w:bookmarkStart w:id="87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Use the full schema if implementation time allows. The full schema is more durable and will reduce rework in Phases 8–10.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timing-data-population-rules"/>
    <w:p>
      <w:pPr>
        <w:pStyle w:val="Heading1"/>
      </w:pPr>
      <w:r>
        <w:t xml:space="preserve">7. Timing Data Population Rules</w:t>
      </w:r>
    </w:p>
    <w:bookmarkStart w:id="89" w:name="product-level-population"/>
    <w:p>
      <w:pPr>
        <w:pStyle w:val="Heading2"/>
      </w:pPr>
      <w:r>
        <w:t xml:space="preserve">Product-Level Population</w:t>
      </w:r>
    </w:p>
    <w:p>
      <w:pPr>
        <w:pStyle w:val="FirstParagraph"/>
      </w:pPr>
      <w:r>
        <w:t xml:space="preserve">Populate timing data for all Phase 6 product-scope offerings.</w:t>
      </w:r>
    </w:p>
    <w:p>
      <w:pPr>
        <w:pStyle w:val="BodyText"/>
      </w:pPr>
      <w:r>
        <w:t xml:space="preserve">For each product, capture:</w:t>
      </w:r>
    </w:p>
    <w:p>
      <w:pPr>
        <w:pStyle w:val="SourceCode"/>
      </w:pPr>
      <w:r>
        <w:rPr>
          <w:rStyle w:val="VerbatimChar"/>
        </w:rPr>
        <w:t xml:space="preserve">initial series count</w:t>
      </w:r>
      <w:r>
        <w:br/>
      </w:r>
      <w:r>
        <w:rPr>
          <w:rStyle w:val="VerbatimChar"/>
        </w:rPr>
        <w:t xml:space="preserve">initial treatment spacing</w:t>
      </w:r>
      <w:r>
        <w:br/>
      </w:r>
      <w:r>
        <w:rPr>
          <w:rStyle w:val="VerbatimChar"/>
        </w:rPr>
        <w:t xml:space="preserve">maintenance interval</w:t>
      </w:r>
      <w:r>
        <w:br/>
      </w:r>
      <w:r>
        <w:rPr>
          <w:rStyle w:val="VerbatimChar"/>
        </w:rPr>
        <w:t xml:space="preserve">minimum retreatment interval</w:t>
      </w:r>
      <w:r>
        <w:br/>
      </w:r>
      <w:r>
        <w:rPr>
          <w:rStyle w:val="VerbatimChar"/>
        </w:rPr>
        <w:t xml:space="preserve">typical follow-up timing</w:t>
      </w:r>
      <w:r>
        <w:br/>
      </w:r>
      <w:r>
        <w:rPr>
          <w:rStyle w:val="VerbatimChar"/>
        </w:rPr>
        <w:t xml:space="preserve">downtime range</w:t>
      </w:r>
      <w:r>
        <w:br/>
      </w:r>
      <w:r>
        <w:rPr>
          <w:rStyle w:val="VerbatimChar"/>
        </w:rPr>
        <w:t xml:space="preserve">cadence notes</w:t>
      </w:r>
    </w:p>
    <w:p>
      <w:pPr>
        <w:pStyle w:val="FirstParagraph"/>
      </w:pPr>
      <w:r>
        <w:t xml:space="preserve">Use conservative formal evidence where available.</w:t>
      </w:r>
    </w:p>
    <w:p>
      <w:pPr>
        <w:pStyle w:val="BodyText"/>
      </w:pPr>
      <w:r>
        <w:t xml:space="preserve">Use practice-informed synthesis for operational language, but do not expose non-owned source references.</w:t>
      </w:r>
    </w:p>
    <w:bookmarkEnd w:id="89"/>
    <w:bookmarkStart w:id="90" w:name="pair-level-population"/>
    <w:p>
      <w:pPr>
        <w:pStyle w:val="Heading2"/>
      </w:pPr>
      <w:r>
        <w:t xml:space="preserve">Pair-Level Population</w:t>
      </w:r>
    </w:p>
    <w:p>
      <w:pPr>
        <w:pStyle w:val="FirstParagraph"/>
      </w:pPr>
      <w:r>
        <w:t xml:space="preserve">Populate pair-level timing for at least:</w:t>
      </w:r>
    </w:p>
    <w:p>
      <w:pPr>
        <w:pStyle w:val="Compact"/>
        <w:numPr>
          <w:ilvl w:val="0"/>
          <w:numId w:val="1023"/>
        </w:numPr>
      </w:pPr>
      <w:r>
        <w:t xml:space="preserve">all canonical pairs</w:t>
      </w:r>
    </w:p>
    <w:p>
      <w:pPr>
        <w:pStyle w:val="Compact"/>
        <w:numPr>
          <w:ilvl w:val="0"/>
          <w:numId w:val="1023"/>
        </w:numPr>
      </w:pPr>
      <w:r>
        <w:t xml:space="preserve">all common pairs</w:t>
      </w:r>
    </w:p>
    <w:p>
      <w:pPr>
        <w:pStyle w:val="Compact"/>
        <w:numPr>
          <w:ilvl w:val="0"/>
          <w:numId w:val="1023"/>
        </w:numPr>
      </w:pPr>
      <w:r>
        <w:t xml:space="preserve">all conditional pairs where timing is a defining issue</w:t>
      </w:r>
    </w:p>
    <w:p>
      <w:pPr>
        <w:pStyle w:val="Compact"/>
        <w:numPr>
          <w:ilvl w:val="0"/>
          <w:numId w:val="1023"/>
        </w:numPr>
      </w:pPr>
      <w:r>
        <w:t xml:space="preserve">do_not_market or rejected pairs only if timing/safety is the reason for suppression</w:t>
      </w:r>
    </w:p>
    <w:p>
      <w:pPr>
        <w:pStyle w:val="FirstParagraph"/>
      </w:pPr>
      <w:r>
        <w:t xml:space="preserve">Do not attempt to populate all 190 pairs with detailed timing if no useful pair-level timing exists.</w:t>
      </w:r>
    </w:p>
    <w:bookmarkEnd w:id="90"/>
    <w:bookmarkStart w:id="91" w:name="default-rule-for-non-populated-pairs"/>
    <w:p>
      <w:pPr>
        <w:pStyle w:val="Heading2"/>
      </w:pPr>
      <w:r>
        <w:t xml:space="preserve">Default Rule for Non-Populated Pairs</w:t>
      </w:r>
    </w:p>
    <w:p>
      <w:pPr>
        <w:pStyle w:val="FirstParagraph"/>
      </w:pPr>
      <w:r>
        <w:t xml:space="preserve">If no explicit pair-level timing rule exists:</w:t>
      </w:r>
    </w:p>
    <w:p>
      <w:pPr>
        <w:pStyle w:val="SourceCode"/>
      </w:pPr>
      <w:r>
        <w:rPr>
          <w:rStyle w:val="VerbatimChar"/>
        </w:rPr>
        <w:t xml:space="preserve">same_session_ok = true</w:t>
      </w:r>
      <w:r>
        <w:br/>
      </w:r>
      <w:r>
        <w:rPr>
          <w:rStyle w:val="VerbatimChar"/>
        </w:rPr>
        <w:t xml:space="preserve">safety_critical = false</w:t>
      </w:r>
      <w:r>
        <w:br/>
      </w:r>
      <w:r>
        <w:rPr>
          <w:rStyle w:val="VerbatimChar"/>
        </w:rPr>
        <w:t xml:space="preserve">timing_warning_level = null</w:t>
      </w:r>
    </w:p>
    <w:p>
      <w:pPr>
        <w:pStyle w:val="FirstParagraph"/>
      </w:pPr>
      <w:r>
        <w:t xml:space="preserve">But do not create unnecessary rows solely for the default.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timing-rule-inventory-to-implement"/>
    <w:p>
      <w:pPr>
        <w:pStyle w:val="Heading1"/>
      </w:pPr>
      <w:r>
        <w:t xml:space="preserve">8. Timing Rule Inventory to Implement</w:t>
      </w:r>
    </w:p>
    <w:bookmarkStart w:id="93" w:name="X280fb9bee260187fb38be75878c68f38e4b77ef"/>
    <w:p>
      <w:pPr>
        <w:pStyle w:val="Heading2"/>
      </w:pPr>
      <w:r>
        <w:t xml:space="preserve">High-Confidence Product-Level Timing Rules</w:t>
      </w:r>
    </w:p>
    <w:p>
      <w:pPr>
        <w:pStyle w:val="FirstParagraph"/>
      </w:pPr>
      <w:r>
        <w:t xml:space="preserve">The implementation agent should populate product-level cadence for the following categories where they exist in the product catalog: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Timing Intelligence to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Neurotoxins</w:t>
            </w:r>
          </w:p>
        </w:tc>
        <w:tc>
          <w:tcPr/>
          <w:p>
            <w:pPr>
              <w:pStyle w:val="Compact"/>
            </w:pPr>
            <w:r>
              <w:t xml:space="preserve">Minimum retreatment interval, typical maintenance interval, full-effect check timing, antibody-risk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fillers</w:t>
            </w:r>
          </w:p>
        </w:tc>
        <w:tc>
          <w:tcPr/>
          <w:p>
            <w:pPr>
              <w:pStyle w:val="Compact"/>
            </w:pPr>
            <w:r>
              <w:t xml:space="preserve">Follow-up/touch-up timing, maintenance interval, swelling/bruising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Sculptra / PLLA</w:t>
            </w:r>
          </w:p>
        </w:tc>
        <w:tc>
          <w:tcPr/>
          <w:p>
            <w:pPr>
              <w:pStyle w:val="Compact"/>
            </w:pPr>
            <w:r>
              <w:t xml:space="preserve">Initial series, session spacing, delayed onset, maintenance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Radiesse / CaHA</w:t>
            </w:r>
          </w:p>
        </w:tc>
        <w:tc>
          <w:tcPr/>
          <w:p>
            <w:pPr>
              <w:pStyle w:val="Compact"/>
            </w:pPr>
            <w:r>
              <w:t xml:space="preserve">Maintenance/retreatment interval, longevity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microneedling</w:t>
            </w:r>
          </w:p>
        </w:tc>
        <w:tc>
          <w:tcPr/>
          <w:p>
            <w:pPr>
              <w:pStyle w:val="Compact"/>
            </w:pPr>
            <w:r>
              <w:t xml:space="preserve">Initial series count, spacing,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PRP / PRF</w:t>
            </w:r>
          </w:p>
        </w:tc>
        <w:tc>
          <w:tcPr/>
          <w:p>
            <w:pPr>
              <w:pStyle w:val="Compact"/>
            </w:pPr>
            <w:r>
              <w:t xml:space="preserve">Series count, spacing, delayed result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 peels</w:t>
            </w:r>
          </w:p>
        </w:tc>
        <w:tc>
          <w:tcPr/>
          <w:p>
            <w:pPr>
              <w:pStyle w:val="Compact"/>
            </w:pPr>
            <w:r>
              <w:t xml:space="preserve">Series spacing, downtime by peel intensity if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IPL / BBL / nonablative light</w:t>
            </w:r>
          </w:p>
        </w:tc>
        <w:tc>
          <w:tcPr/>
          <w:p>
            <w:pPr>
              <w:pStyle w:val="Compact"/>
            </w:pPr>
            <w:r>
              <w:t xml:space="preserve">Series count, spacing,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CoolSculpting / cryolipolysis</w:t>
            </w:r>
          </w:p>
        </w:tc>
        <w:tc>
          <w:tcPr/>
          <w:p>
            <w:pPr>
              <w:pStyle w:val="Compact"/>
            </w:pPr>
            <w:r>
              <w:t xml:space="preserve">Assessment window, retreatment spacing, delayed result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Kybella / deoxycholic acid</w:t>
            </w:r>
          </w:p>
        </w:tc>
        <w:tc>
          <w:tcPr/>
          <w:p>
            <w:pPr>
              <w:pStyle w:val="Compact"/>
            </w:pPr>
            <w:r>
              <w:t xml:space="preserve">Series spacing, swelling expectations, final assessment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follow-up/recovery timing, collagen maturation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boosters</w:t>
            </w:r>
          </w:p>
        </w:tc>
        <w:tc>
          <w:tcPr/>
          <w:p>
            <w:pPr>
              <w:pStyle w:val="Compact"/>
            </w:pPr>
            <w:r>
              <w:t xml:space="preserve">series spacing and maintenance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HydraFacial / facials</w:t>
            </w:r>
          </w:p>
        </w:tc>
        <w:tc>
          <w:tcPr/>
          <w:p>
            <w:pPr>
              <w:pStyle w:val="Compact"/>
            </w:pPr>
            <w:r>
              <w:t xml:space="preserve">maintenance cadence if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Skincare regimens</w:t>
            </w:r>
          </w:p>
        </w:tc>
        <w:tc>
          <w:tcPr/>
          <w:p>
            <w:pPr>
              <w:pStyle w:val="Compact"/>
            </w:pPr>
            <w:r>
              <w:t xml:space="preserve">onboarding and maintenance notes if in scope</w:t>
            </w:r>
          </w:p>
        </w:tc>
      </w:tr>
    </w:tbl>
    <w:bookmarkEnd w:id="93"/>
    <w:bookmarkStart w:id="94" w:name="high-confidence-pair-level-timing-rules"/>
    <w:p>
      <w:pPr>
        <w:pStyle w:val="Heading2"/>
      </w:pPr>
      <w:r>
        <w:t xml:space="preserve">High-Confidence Pair-Level Timing Rules</w:t>
      </w:r>
    </w:p>
    <w:p>
      <w:pPr>
        <w:pStyle w:val="FirstParagraph"/>
      </w:pPr>
      <w:r>
        <w:t xml:space="preserve">Implement explicit pair-level rules 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 / Category</w:t>
            </w:r>
          </w:p>
        </w:tc>
        <w:tc>
          <w:tcPr/>
          <w:p>
            <w:pPr>
              <w:pStyle w:val="Compact"/>
            </w:pPr>
            <w:r>
              <w:t xml:space="preserve">Same-Session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Neurotoxin + HA filler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Formal evidence supports same-session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Neurotoxin + nonablative laser / IPL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Timing generally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Neurotoxin before laser resurfacing</w:t>
            </w:r>
          </w:p>
        </w:tc>
        <w:tc>
          <w:tcPr/>
          <w:p>
            <w:pPr>
              <w:pStyle w:val="Compact"/>
            </w:pPr>
            <w:r>
              <w:t xml:space="preserve">preferred sequence</w:t>
            </w:r>
          </w:p>
        </w:tc>
        <w:tc>
          <w:tcPr/>
          <w:p>
            <w:pPr>
              <w:pStyle w:val="Compact"/>
            </w:pPr>
            <w:r>
              <w:t xml:space="preserve">capture staging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filler + hyaluronidase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hard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Hyaluronidase before HA reinjection</w:t>
            </w:r>
          </w:p>
        </w:tc>
        <w:tc>
          <w:tcPr/>
          <w:p>
            <w:pPr>
              <w:pStyle w:val="Compact"/>
            </w:pPr>
            <w:r>
              <w:t xml:space="preserve">staged</w:t>
            </w:r>
          </w:p>
        </w:tc>
        <w:tc>
          <w:tcPr/>
          <w:p>
            <w:pPr>
              <w:pStyle w:val="Compact"/>
            </w:pPr>
            <w:r>
              <w:t xml:space="preserve">minimum spacing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PRP/PRF + laser or RF microneedling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 reduce or improve recovery profile in some contexts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Sculptra + HA filler</w:t>
            </w:r>
          </w:p>
        </w:tc>
        <w:tc>
          <w:tcPr/>
          <w:p>
            <w:pPr>
              <w:pStyle w:val="Compact"/>
            </w:pPr>
            <w:r>
              <w:t xml:space="preserve">yes or staged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  <w:r>
              <w:t xml:space="preserve"> </w:t>
            </w:r>
            <w:r>
              <w:t xml:space="preserve">“foundation then refinement”</w:t>
            </w:r>
            <w:r>
              <w:t xml:space="preserve"> </w:t>
            </w: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Sculptra + RF microneedling</w:t>
            </w:r>
          </w:p>
        </w:tc>
        <w:tc>
          <w:tcPr/>
          <w:p>
            <w:pPr>
              <w:pStyle w:val="Compact"/>
            </w:pPr>
            <w:r>
              <w:t xml:space="preserve">yes or conditional</w:t>
            </w:r>
          </w:p>
        </w:tc>
        <w:tc>
          <w:tcPr/>
          <w:p>
            <w:pPr>
              <w:pStyle w:val="Compact"/>
            </w:pPr>
            <w:r>
              <w:t xml:space="preserve">depends on device, anatomy, and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filler + RF/energy</w:t>
            </w:r>
          </w:p>
        </w:tc>
        <w:tc>
          <w:tcPr/>
          <w:p>
            <w:pPr>
              <w:pStyle w:val="Compact"/>
            </w:pPr>
            <w:r>
              <w:t xml:space="preserve">conditional or yes</w:t>
            </w:r>
          </w:p>
        </w:tc>
        <w:tc>
          <w:tcPr/>
          <w:p>
            <w:pPr>
              <w:pStyle w:val="Compact"/>
            </w:pPr>
            <w:r>
              <w:t xml:space="preserve">document that practice patterns vary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filler + threads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different planes and provider technique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 peel + injectable</w:t>
            </w:r>
          </w:p>
        </w:tc>
        <w:tc>
          <w:tcPr/>
          <w:p>
            <w:pPr>
              <w:pStyle w:val="Compact"/>
            </w:pPr>
            <w:r>
              <w:t xml:space="preserve">conditional/yes</w:t>
            </w:r>
          </w:p>
        </w:tc>
        <w:tc>
          <w:tcPr/>
          <w:p>
            <w:pPr>
              <w:pStyle w:val="Compact"/>
            </w:pPr>
            <w:r>
              <w:t xml:space="preserve">depends on peel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Cannula procedure + makeup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post-care timing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ablative laser + isotretinoin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hard contraindication if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Neurotoxin retreatment too soon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minimum retreatment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High-dose neurotoxin threshold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Chris review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9" w:name="deliverables"/>
    <w:p>
      <w:pPr>
        <w:pStyle w:val="Heading1"/>
      </w:pPr>
      <w:r>
        <w:t xml:space="preserve">9. Deliverables</w:t>
      </w:r>
    </w:p>
    <w:p>
      <w:pPr>
        <w:pStyle w:val="FirstParagraph"/>
      </w:pPr>
      <w:r>
        <w:t xml:space="preserve">Phase 7 should produce the following artifacts.</w:t>
      </w:r>
    </w:p>
    <w:bookmarkStart w:id="96" w:name="required"/>
    <w:p>
      <w:pPr>
        <w:pStyle w:val="Heading2"/>
      </w:pPr>
      <w:r>
        <w:t xml:space="preserve">Required</w:t>
      </w:r>
    </w:p>
    <w:p>
      <w:pPr>
        <w:pStyle w:val="SourceCode"/>
      </w:pPr>
      <w:r>
        <w:rPr>
          <w:rStyle w:val="VerbatimChar"/>
        </w:rPr>
        <w:t xml:space="preserve">supabase/migrations/07-timing-schema.sql</w:t>
      </w:r>
    </w:p>
    <w:p>
      <w:pPr>
        <w:pStyle w:val="FirstParagraph"/>
      </w:pPr>
      <w:r>
        <w:t xml:space="preserve">Adds product-level and pair-level timing fields.</w:t>
      </w:r>
    </w:p>
    <w:p>
      <w:pPr>
        <w:pStyle w:val="SourceCode"/>
      </w:pPr>
      <w:r>
        <w:rPr>
          <w:rStyle w:val="VerbatimChar"/>
        </w:rPr>
        <w:t xml:space="preserve">supabase/compile_sql/07-timing-product-cadence.sql</w:t>
      </w:r>
    </w:p>
    <w:p>
      <w:pPr>
        <w:pStyle w:val="FirstParagraph"/>
      </w:pPr>
      <w:r>
        <w:t xml:space="preserve">Populates product cadence and downtime data.</w:t>
      </w:r>
    </w:p>
    <w:p>
      <w:pPr>
        <w:pStyle w:val="SourceCode"/>
      </w:pPr>
      <w:r>
        <w:rPr>
          <w:rStyle w:val="VerbatimChar"/>
        </w:rPr>
        <w:t xml:space="preserve">supabase/compile_sql/07-timing-pair-rules.sql</w:t>
      </w:r>
    </w:p>
    <w:p>
      <w:pPr>
        <w:pStyle w:val="FirstParagraph"/>
      </w:pPr>
      <w:r>
        <w:t xml:space="preserve">Populates same-session, staging, downtime, and safety timing rules.</w:t>
      </w:r>
    </w:p>
    <w:p>
      <w:pPr>
        <w:pStyle w:val="SourceCode"/>
      </w:pPr>
      <w:r>
        <w:rPr>
          <w:rStyle w:val="VerbatimChar"/>
        </w:rPr>
        <w:t xml:space="preserve">TIMING_EVALUATION.md</w:t>
      </w:r>
    </w:p>
    <w:p>
      <w:pPr>
        <w:pStyle w:val="FirstParagraph"/>
      </w:pPr>
      <w:r>
        <w:t xml:space="preserve">Human-readable evaluation of timing rules, assumptions, and source-support categories.</w:t>
      </w:r>
    </w:p>
    <w:p>
      <w:pPr>
        <w:pStyle w:val="SourceCode"/>
      </w:pPr>
      <w:r>
        <w:rPr>
          <w:rStyle w:val="VerbatimChar"/>
        </w:rPr>
        <w:t xml:space="preserve">TIMING_REVIEW.md</w:t>
      </w:r>
    </w:p>
    <w:p>
      <w:pPr>
        <w:pStyle w:val="FirstParagraph"/>
      </w:pPr>
      <w:r>
        <w:t xml:space="preserve">Chris review document for safety-critical, business-sensitive, or ambiguous timing rules.</w:t>
      </w:r>
    </w:p>
    <w:bookmarkEnd w:id="96"/>
    <w:bookmarkStart w:id="97" w:name="recommended"/>
    <w:p>
      <w:pPr>
        <w:pStyle w:val="Heading2"/>
      </w:pPr>
      <w:r>
        <w:t xml:space="preserve">Recommended</w:t>
      </w:r>
    </w:p>
    <w:p>
      <w:pPr>
        <w:pStyle w:val="SourceCode"/>
      </w:pPr>
      <w:r>
        <w:rPr>
          <w:rStyle w:val="VerbatimChar"/>
        </w:rPr>
        <w:t xml:space="preserve">TIMING_RUBRIC.md</w:t>
      </w:r>
    </w:p>
    <w:p>
      <w:pPr>
        <w:pStyle w:val="FirstParagraph"/>
      </w:pPr>
      <w:r>
        <w:t xml:space="preserve">Defines how timing rules are classified.</w:t>
      </w:r>
    </w:p>
    <w:p>
      <w:pPr>
        <w:pStyle w:val="SourceCode"/>
      </w:pPr>
      <w:r>
        <w:rPr>
          <w:rStyle w:val="VerbatimChar"/>
        </w:rPr>
        <w:t xml:space="preserve">TIMING_QA_REPORT.md</w:t>
      </w:r>
    </w:p>
    <w:p>
      <w:pPr>
        <w:pStyle w:val="FirstParagraph"/>
      </w:pPr>
      <w:r>
        <w:t xml:space="preserve">Confirms schema and data quality.</w:t>
      </w:r>
    </w:p>
    <w:p>
      <w:pPr>
        <w:pStyle w:val="SourceCode"/>
      </w:pPr>
      <w:r>
        <w:rPr>
          <w:rStyle w:val="VerbatimChar"/>
        </w:rPr>
        <w:t xml:space="preserve">BOOKING_LOGIC_CHEAT_SHEET.md</w:t>
      </w:r>
    </w:p>
    <w:p>
      <w:pPr>
        <w:pStyle w:val="FirstParagraph"/>
      </w:pPr>
      <w:r>
        <w:t xml:space="preserve">Gives future booking or scheduling agents a human-readable reference.</w:t>
      </w:r>
    </w:p>
    <w:bookmarkEnd w:id="97"/>
    <w:bookmarkStart w:id="98" w:name="optional-deferred"/>
    <w:p>
      <w:pPr>
        <w:pStyle w:val="Heading2"/>
      </w:pPr>
      <w:r>
        <w:t xml:space="preserve">Optional / Deferred</w:t>
      </w:r>
    </w:p>
    <w:p>
      <w:pPr>
        <w:pStyle w:val="SourceCode"/>
      </w:pPr>
      <w:r>
        <w:rPr>
          <w:rStyle w:val="VerbatimChar"/>
        </w:rPr>
        <w:t xml:space="preserve">TIMING_EVIDENCE_PACK.md</w:t>
      </w:r>
    </w:p>
    <w:p>
      <w:pPr>
        <w:pStyle w:val="FirstParagraph"/>
      </w:pPr>
      <w:r>
        <w:t xml:space="preserve">Formal evidence pack using FDA, IFU, PubMed, and approved evidence_links only.</w:t>
      </w:r>
    </w:p>
    <w:p>
      <w:pPr>
        <w:pStyle w:val="SourceCode"/>
      </w:pPr>
      <w:r>
        <w:rPr>
          <w:rStyle w:val="VerbatimChar"/>
        </w:rPr>
        <w:t xml:space="preserve">TIMING_CORPUS_QUERY_LOG.md</w:t>
      </w:r>
    </w:p>
    <w:p>
      <w:pPr>
        <w:pStyle w:val="FirstParagraph"/>
      </w:pPr>
      <w:r>
        <w:t xml:space="preserve">Internal-only research trail. Do not expose in runtime or customer-facing materials.</w:t>
      </w:r>
    </w:p>
    <w:p>
      <w:pPr>
        <w:pStyle w:val="SourceCode"/>
      </w:pPr>
      <w:r>
        <w:rPr>
          <w:rStyle w:val="VerbatimChar"/>
        </w:rPr>
        <w:t xml:space="preserve">Visual timelines</w:t>
      </w:r>
      <w:r>
        <w:br/>
      </w:r>
      <w:r>
        <w:rPr>
          <w:rStyle w:val="VerbatimChar"/>
        </w:rPr>
        <w:t xml:space="preserve">Event-based calculators</w:t>
      </w:r>
      <w:r>
        <w:br/>
      </w:r>
      <w:r>
        <w:rPr>
          <w:rStyle w:val="VerbatimChar"/>
        </w:rPr>
        <w:t xml:space="preserve">Care-plan timelines</w:t>
      </w:r>
    </w:p>
    <w:p>
      <w:pPr>
        <w:pStyle w:val="FirstParagraph"/>
      </w:pPr>
      <w:r>
        <w:t xml:space="preserve">Defer to Phase 9.</w:t>
      </w:r>
    </w:p>
    <w:p>
      <w:pPr>
        <w:pStyle w:val="SourceCode"/>
      </w:pPr>
      <w:r>
        <w:rPr>
          <w:rStyle w:val="VerbatimChar"/>
        </w:rPr>
        <w:t xml:space="preserve">Agent fuel packet compilation</w:t>
      </w:r>
    </w:p>
    <w:p>
      <w:pPr>
        <w:pStyle w:val="FirstParagraph"/>
      </w:pPr>
      <w:r>
        <w:t xml:space="preserve">Defer to Phase 10.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chris-review-items"/>
    <w:p>
      <w:pPr>
        <w:pStyle w:val="Heading1"/>
      </w:pPr>
      <w:r>
        <w:t xml:space="preserve">10. Chris Review Items</w:t>
      </w:r>
    </w:p>
    <w:p>
      <w:pPr>
        <w:pStyle w:val="FirstParagraph"/>
      </w:pPr>
      <w:r>
        <w:t xml:space="preserve">The following items should go into</w:t>
      </w:r>
      <w:r>
        <w:t xml:space="preserve"> </w:t>
      </w:r>
      <w:r>
        <w:rPr>
          <w:rStyle w:val="VerbatimChar"/>
        </w:rPr>
        <w:t xml:space="preserve">TIMING_REVIEW.md</w:t>
      </w:r>
      <w:r>
        <w:t xml:space="preserve">.</w:t>
      </w:r>
    </w:p>
    <w:bookmarkStart w:id="100" w:name="default-same-session-posture"/>
    <w:p>
      <w:pPr>
        <w:pStyle w:val="Heading2"/>
      </w:pPr>
      <w:r>
        <w:t xml:space="preserve">1. Default Same-Session Posture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Default same-session = yes unless explicitly flagged.</w:t>
      </w:r>
    </w:p>
    <w:p>
      <w:pPr>
        <w:pStyle w:val="FirstParagraph"/>
      </w:pPr>
      <w:r>
        <w:t xml:space="preserve">Chris should confirm whether this is acceptable from a business and clinical risk posture.</w:t>
      </w:r>
    </w:p>
    <w:bookmarkEnd w:id="100"/>
    <w:bookmarkStart w:id="101" w:name="hard-block-vs-warning-philosophy"/>
    <w:p>
      <w:pPr>
        <w:pStyle w:val="Heading2"/>
      </w:pPr>
      <w:r>
        <w:t xml:space="preserve">2. Hard Block vs Warning Philosophy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Hard blocks only for formal contraindications, pharmacologic conflicts, and legal restrictions. Everything else is warning or education.</w:t>
      </w:r>
    </w:p>
    <w:p>
      <w:pPr>
        <w:pStyle w:val="FirstParagraph"/>
      </w:pPr>
      <w:r>
        <w:t xml:space="preserve">Chris should approve this enforcement model.</w:t>
      </w:r>
    </w:p>
    <w:bookmarkEnd w:id="101"/>
    <w:bookmarkStart w:id="102" w:name="neurotoxin-dose-threshold-warning"/>
    <w:p>
      <w:pPr>
        <w:pStyle w:val="Heading2"/>
      </w:pPr>
      <w:r>
        <w:t xml:space="preserve">3. Neurotoxin Dose Threshold Warning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Include a warning for high-dose neurotoxin scenarios where antibody risk may be relevant.</w:t>
      </w:r>
    </w:p>
    <w:p>
      <w:pPr>
        <w:pStyle w:val="FirstParagraph"/>
      </w:pPr>
      <w:r>
        <w:t xml:space="preserve">Chris should decide whether this is too conservative for A360’s provider audience.</w:t>
      </w:r>
    </w:p>
    <w:bookmarkEnd w:id="102"/>
    <w:bookmarkStart w:id="103" w:name="filler-energy-same-day-classification"/>
    <w:p>
      <w:pPr>
        <w:pStyle w:val="Heading2"/>
      </w:pPr>
      <w:r>
        <w:t xml:space="preserve">4. Filler + Energy Same-Day Classification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Classify as conditional/education rather than hard warning, unless product-specific evidence says otherwise.</w:t>
      </w:r>
    </w:p>
    <w:p>
      <w:pPr>
        <w:pStyle w:val="FirstParagraph"/>
      </w:pPr>
      <w:r>
        <w:t xml:space="preserve">Chris should decide how conservative A360 should be.</w:t>
      </w:r>
    </w:p>
    <w:bookmarkEnd w:id="103"/>
    <w:bookmarkStart w:id="104" w:name="downtime-framing"/>
    <w:p>
      <w:pPr>
        <w:pStyle w:val="Heading2"/>
      </w:pPr>
      <w:r>
        <w:t xml:space="preserve">5. Downtime Framing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Use conservative ranges for clinical/product data; use realistic language in staff-facing guidance.</w:t>
      </w:r>
    </w:p>
    <w:p>
      <w:pPr>
        <w:pStyle w:val="FirstParagraph"/>
      </w:pPr>
      <w:r>
        <w:t xml:space="preserve">Chris should confirm whether downtime should be conservative, commercially realistic, or both.</w:t>
      </w:r>
    </w:p>
    <w:bookmarkEnd w:id="104"/>
    <w:bookmarkStart w:id="105" w:name="body-contouring-timing-scope"/>
    <w:p>
      <w:pPr>
        <w:pStyle w:val="Heading2"/>
      </w:pPr>
      <w:r>
        <w:t xml:space="preserve">6. Body Contouring Timing Scope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Include product-level timing for body treatments where available, but defer complex body-combination logic unless evidence is strong.</w:t>
      </w:r>
    </w:p>
    <w:p>
      <w:pPr>
        <w:pStyle w:val="FirstParagraph"/>
      </w:pPr>
      <w:r>
        <w:t xml:space="preserve">Chris should confirm scope.</w:t>
      </w:r>
    </w:p>
    <w:bookmarkEnd w:id="105"/>
    <w:bookmarkStart w:id="106" w:name="full-vs-minimal-schema"/>
    <w:p>
      <w:pPr>
        <w:pStyle w:val="Heading2"/>
      </w:pPr>
      <w:r>
        <w:t xml:space="preserve">7. Full vs Minimal Schema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Use the full schema unless implementation time requires the minimal field set.</w:t>
      </w:r>
    </w:p>
    <w:p>
      <w:pPr>
        <w:pStyle w:val="FirstParagraph"/>
      </w:pPr>
      <w:r>
        <w:t xml:space="preserve">Chris or technical lead should approve.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qa-and-acceptance-criteria"/>
    <w:p>
      <w:pPr>
        <w:pStyle w:val="Heading1"/>
      </w:pPr>
      <w:r>
        <w:t xml:space="preserve">11. QA and Acceptance Criteria</w:t>
      </w:r>
    </w:p>
    <w:p>
      <w:pPr>
        <w:pStyle w:val="FirstParagraph"/>
      </w:pPr>
      <w:r>
        <w:t xml:space="preserve">Phase 7 is done when the following are true.</w:t>
      </w:r>
    </w:p>
    <w:bookmarkStart w:id="108" w:name="schema-qa"/>
    <w:p>
      <w:pPr>
        <w:pStyle w:val="Heading2"/>
      </w:pPr>
      <w:r>
        <w:t xml:space="preserve">Schema QA</w:t>
      </w:r>
    </w:p>
    <w:p>
      <w:pPr>
        <w:pStyle w:val="SourceCode"/>
      </w:pPr>
      <w:r>
        <w:rPr>
          <w:rStyle w:val="VerbatimChar"/>
        </w:rPr>
        <w:t xml:space="preserve">[ ] Product-level cadence fields exist.</w:t>
      </w:r>
      <w:r>
        <w:br/>
      </w:r>
      <w:r>
        <w:rPr>
          <w:rStyle w:val="VerbatimChar"/>
        </w:rPr>
        <w:t xml:space="preserve">[ ] Product-level downtime fields exist.</w:t>
      </w:r>
      <w:r>
        <w:br/>
      </w:r>
      <w:r>
        <w:rPr>
          <w:rStyle w:val="VerbatimChar"/>
        </w:rPr>
        <w:t xml:space="preserve">[ ] Pair-level same-session fields exist.</w:t>
      </w:r>
      <w:r>
        <w:br/>
      </w:r>
      <w:r>
        <w:rPr>
          <w:rStyle w:val="VerbatimChar"/>
        </w:rPr>
        <w:t xml:space="preserve">[ ] Pair-level staging fields exist.</w:t>
      </w:r>
      <w:r>
        <w:br/>
      </w:r>
      <w:r>
        <w:rPr>
          <w:rStyle w:val="VerbatimChar"/>
        </w:rPr>
        <w:t xml:space="preserve">[ ] Pair-level safety fields exist.</w:t>
      </w:r>
      <w:r>
        <w:br/>
      </w:r>
      <w:r>
        <w:rPr>
          <w:rStyle w:val="VerbatimChar"/>
        </w:rPr>
        <w:t xml:space="preserve">[ ] timing_warning_level is constrained or validated.</w:t>
      </w:r>
      <w:r>
        <w:br/>
      </w:r>
      <w:r>
        <w:rPr>
          <w:rStyle w:val="VerbatimChar"/>
        </w:rPr>
        <w:t xml:space="preserve">[ ] staging_sequence is constrained or validated.</w:t>
      </w:r>
      <w:r>
        <w:br/>
      </w:r>
      <w:r>
        <w:rPr>
          <w:rStyle w:val="VerbatimChar"/>
        </w:rPr>
        <w:t xml:space="preserve">[ ] Migration is idempotent.</w:t>
      </w:r>
      <w:r>
        <w:br/>
      </w:r>
      <w:r>
        <w:rPr>
          <w:rStyle w:val="VerbatimChar"/>
        </w:rPr>
        <w:t xml:space="preserve">[ ] Migration does not break existing queries.</w:t>
      </w:r>
    </w:p>
    <w:bookmarkEnd w:id="108"/>
    <w:bookmarkStart w:id="109" w:name="product-timing-qa"/>
    <w:p>
      <w:pPr>
        <w:pStyle w:val="Heading2"/>
      </w:pPr>
      <w:r>
        <w:t xml:space="preserve">Product Timing QA</w:t>
      </w:r>
    </w:p>
    <w:p>
      <w:pPr>
        <w:pStyle w:val="SourceCode"/>
      </w:pPr>
      <w:r>
        <w:rPr>
          <w:rStyle w:val="VerbatimChar"/>
        </w:rPr>
        <w:t xml:space="preserve">[ ] Every in-scope product has a maintenance interval or cadence note.</w:t>
      </w:r>
      <w:r>
        <w:br/>
      </w:r>
      <w:r>
        <w:rPr>
          <w:rStyle w:val="VerbatimChar"/>
        </w:rPr>
        <w:t xml:space="preserve">[ ] Every in-scope product has downtime min/max or downtime note.</w:t>
      </w:r>
      <w:r>
        <w:br/>
      </w:r>
      <w:r>
        <w:rPr>
          <w:rStyle w:val="VerbatimChar"/>
        </w:rPr>
        <w:t xml:space="preserve">[ ] Every neurotoxin has minimum retreatment guidance.</w:t>
      </w:r>
      <w:r>
        <w:br/>
      </w:r>
      <w:r>
        <w:rPr>
          <w:rStyle w:val="VerbatimChar"/>
        </w:rPr>
        <w:t xml:space="preserve">[ ] Every multi-session treatment has initial series data where available.</w:t>
      </w:r>
      <w:r>
        <w:br/>
      </w:r>
      <w:r>
        <w:rPr>
          <w:rStyle w:val="VerbatimChar"/>
        </w:rPr>
        <w:t xml:space="preserve">[ ] Every product with delayed onset/results has that timing captured in notes.</w:t>
      </w:r>
      <w:r>
        <w:br/>
      </w:r>
      <w:r>
        <w:rPr>
          <w:rStyle w:val="VerbatimChar"/>
        </w:rPr>
        <w:t xml:space="preserve">[ ] Product timing does not make unsupported guarantees.</w:t>
      </w:r>
    </w:p>
    <w:bookmarkEnd w:id="109"/>
    <w:bookmarkStart w:id="110" w:name="pair-timing-qa"/>
    <w:p>
      <w:pPr>
        <w:pStyle w:val="Heading2"/>
      </w:pPr>
      <w:r>
        <w:t xml:space="preserve">Pair Timing QA</w:t>
      </w:r>
    </w:p>
    <w:p>
      <w:pPr>
        <w:pStyle w:val="SourceCode"/>
      </w:pPr>
      <w:r>
        <w:rPr>
          <w:rStyle w:val="VerbatimChar"/>
        </w:rPr>
        <w:t xml:space="preserve">[ ] Every canonical/common pair has same-session status reviewed.</w:t>
      </w:r>
      <w:r>
        <w:br/>
      </w:r>
      <w:r>
        <w:rPr>
          <w:rStyle w:val="VerbatimChar"/>
        </w:rPr>
        <w:t xml:space="preserve">[ ] Every canonical/common pair has timing guidance.</w:t>
      </w:r>
      <w:r>
        <w:br/>
      </w:r>
      <w:r>
        <w:rPr>
          <w:rStyle w:val="VerbatimChar"/>
        </w:rPr>
        <w:t xml:space="preserve">[ ] Every hard-block pair has safety_critical = true.</w:t>
      </w:r>
      <w:r>
        <w:br/>
      </w:r>
      <w:r>
        <w:rPr>
          <w:rStyle w:val="VerbatimChar"/>
        </w:rPr>
        <w:t xml:space="preserve">[ ] Every warning-level pair has timing_warning_level = warning.</w:t>
      </w:r>
      <w:r>
        <w:br/>
      </w:r>
      <w:r>
        <w:rPr>
          <w:rStyle w:val="VerbatimChar"/>
        </w:rPr>
        <w:t xml:space="preserve">[ ] Every staged pair has staging_required = true.</w:t>
      </w:r>
      <w:r>
        <w:br/>
      </w:r>
      <w:r>
        <w:rPr>
          <w:rStyle w:val="VerbatimChar"/>
        </w:rPr>
        <w:t xml:space="preserve">[ ] Every staged pair has sequence and rationale.</w:t>
      </w:r>
      <w:r>
        <w:br/>
      </w:r>
      <w:r>
        <w:rPr>
          <w:rStyle w:val="VerbatimChar"/>
        </w:rPr>
        <w:t xml:space="preserve">[ ] No pair with a hard block is described as same-session compatible.</w:t>
      </w:r>
    </w:p>
    <w:bookmarkEnd w:id="110"/>
    <w:bookmarkStart w:id="111" w:name="source-evidence-qa"/>
    <w:p>
      <w:pPr>
        <w:pStyle w:val="Heading2"/>
      </w:pPr>
      <w:r>
        <w:t xml:space="preserve">Source / Evidence QA</w:t>
      </w:r>
    </w:p>
    <w:p>
      <w:pPr>
        <w:pStyle w:val="SourceCode"/>
      </w:pPr>
      <w:r>
        <w:rPr>
          <w:rStyle w:val="VerbatimChar"/>
        </w:rPr>
        <w:t xml:space="preserve">[ ] Formal clinical claims are backed by FDA, IFU, PubMed, or approved evidence_links.</w:t>
      </w:r>
      <w:r>
        <w:br/>
      </w:r>
      <w:r>
        <w:rPr>
          <w:rStyle w:val="VerbatimChar"/>
        </w:rPr>
        <w:t xml:space="preserve">[ ] Non-owned media sources are not exposed in final runtime artifacts.</w:t>
      </w:r>
      <w:r>
        <w:br/>
      </w:r>
      <w:r>
        <w:rPr>
          <w:rStyle w:val="VerbatimChar"/>
        </w:rPr>
        <w:t xml:space="preserve">[ ] Practice-informed synthesis is not presented as formal evidence.</w:t>
      </w:r>
      <w:r>
        <w:br/>
      </w:r>
      <w:r>
        <w:rPr>
          <w:rStyle w:val="VerbatimChar"/>
        </w:rPr>
        <w:t xml:space="preserve">[ ] Staff-facing language avoids citations and remains provider-mediated.</w:t>
      </w:r>
      <w:r>
        <w:br/>
      </w:r>
      <w:r>
        <w:rPr>
          <w:rStyle w:val="VerbatimChar"/>
        </w:rPr>
        <w:t xml:space="preserve">[ ] Patient-facing language is not generated in this phase.</w:t>
      </w:r>
    </w:p>
    <w:bookmarkEnd w:id="111"/>
    <w:bookmarkStart w:id="112" w:name="review-qa"/>
    <w:p>
      <w:pPr>
        <w:pStyle w:val="Heading2"/>
      </w:pPr>
      <w:r>
        <w:t xml:space="preserve">Review QA</w:t>
      </w:r>
    </w:p>
    <w:p>
      <w:pPr>
        <w:pStyle w:val="SourceCode"/>
      </w:pPr>
      <w:r>
        <w:rPr>
          <w:rStyle w:val="VerbatimChar"/>
        </w:rPr>
        <w:t xml:space="preserve">[ ] TIMING_REVIEW.md contains all Chris review items.</w:t>
      </w:r>
      <w:r>
        <w:br/>
      </w:r>
      <w:r>
        <w:rPr>
          <w:rStyle w:val="VerbatimChar"/>
        </w:rPr>
        <w:t xml:space="preserve">[ ] All safety-critical rules are listed for review.</w:t>
      </w:r>
      <w:r>
        <w:br/>
      </w:r>
      <w:r>
        <w:rPr>
          <w:rStyle w:val="VerbatimChar"/>
        </w:rPr>
        <w:t xml:space="preserve">[ ] Ambiguous same-session classifications are listed for review.</w:t>
      </w:r>
      <w:r>
        <w:br/>
      </w:r>
      <w:r>
        <w:rPr>
          <w:rStyle w:val="VerbatimChar"/>
        </w:rPr>
        <w:t xml:space="preserve">[ ] Full vs minimal schema decision is documented.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X642288ddd534e7c1f8d0408365c5f4b8ce6113b"/>
    <w:p>
      <w:pPr>
        <w:pStyle w:val="Heading1"/>
      </w:pPr>
      <w:r>
        <w:t xml:space="preserve">12. Implementation Instructions for Claude Code</w:t>
      </w:r>
    </w:p>
    <w:bookmarkStart w:id="114" w:name="step-1-inspect-current-schema"/>
    <w:p>
      <w:pPr>
        <w:pStyle w:val="Heading2"/>
      </w:pPr>
      <w:r>
        <w:t xml:space="preserve">Step 1 — Inspect Current Schema</w:t>
      </w:r>
    </w:p>
    <w:p>
      <w:pPr>
        <w:pStyle w:val="FirstParagraph"/>
      </w:pPr>
      <w:r>
        <w:t xml:space="preserve">Before writing migrations, inspect:</w:t>
      </w:r>
    </w:p>
    <w:p>
      <w:pPr>
        <w:pStyle w:val="SourceCode"/>
      </w:pPr>
      <w:r>
        <w:rPr>
          <w:rStyle w:val="VerbatimChar"/>
        </w:rPr>
        <w:t xml:space="preserve">gl_products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item_relationships</w:t>
      </w:r>
      <w:r>
        <w:br/>
      </w:r>
      <w:r>
        <w:rPr>
          <w:rStyle w:val="VerbatimChar"/>
        </w:rPr>
        <w:t xml:space="preserve">v2_treatment_timing</w:t>
      </w:r>
      <w:r>
        <w:br/>
      </w:r>
      <w:r>
        <w:rPr>
          <w:rStyle w:val="VerbatimChar"/>
        </w:rPr>
        <w:t xml:space="preserve">agent_reference_docs</w:t>
      </w:r>
      <w:r>
        <w:br/>
      </w:r>
      <w:r>
        <w:rPr>
          <w:rStyle w:val="VerbatimChar"/>
        </w:rPr>
        <w:t xml:space="preserve">evidence_links</w:t>
      </w:r>
      <w:r>
        <w:br/>
      </w:r>
      <w:r>
        <w:rPr>
          <w:rStyle w:val="VerbatimChar"/>
        </w:rPr>
        <w:t xml:space="preserve">source_registry</w:t>
      </w:r>
    </w:p>
    <w:p>
      <w:pPr>
        <w:pStyle w:val="FirstParagraph"/>
      </w:pPr>
      <w:r>
        <w:t xml:space="preserve">Confirm actual table and column names before generating SQL.</w:t>
      </w:r>
    </w:p>
    <w:bookmarkEnd w:id="114"/>
    <w:bookmarkStart w:id="115" w:name="step-2-generate-migration"/>
    <w:p>
      <w:pPr>
        <w:pStyle w:val="Heading2"/>
      </w:pPr>
      <w:r>
        <w:t xml:space="preserve">Step 2 — Generate Migration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supabase/migrations/07-timing-schema.sql</w:t>
      </w:r>
    </w:p>
    <w:p>
      <w:pPr>
        <w:pStyle w:val="FirstParagraph"/>
      </w:pPr>
      <w:r>
        <w:t xml:space="preserve">The migration should:</w:t>
      </w:r>
    </w:p>
    <w:p>
      <w:pPr>
        <w:pStyle w:val="Compact"/>
        <w:numPr>
          <w:ilvl w:val="0"/>
          <w:numId w:val="1024"/>
        </w:numPr>
      </w:pPr>
      <w:r>
        <w:t xml:space="preserve">add nullable product-level cadence fields</w:t>
      </w:r>
    </w:p>
    <w:p>
      <w:pPr>
        <w:pStyle w:val="Compact"/>
        <w:numPr>
          <w:ilvl w:val="0"/>
          <w:numId w:val="1024"/>
        </w:numPr>
      </w:pPr>
      <w:r>
        <w:t xml:space="preserve">add nullable product-level downtime fields</w:t>
      </w:r>
    </w:p>
    <w:p>
      <w:pPr>
        <w:pStyle w:val="Compact"/>
        <w:numPr>
          <w:ilvl w:val="0"/>
          <w:numId w:val="1024"/>
        </w:numPr>
      </w:pPr>
      <w:r>
        <w:t xml:space="preserve">add pair-level timing fields</w:t>
      </w:r>
    </w:p>
    <w:p>
      <w:pPr>
        <w:pStyle w:val="Compact"/>
        <w:numPr>
          <w:ilvl w:val="0"/>
          <w:numId w:val="1024"/>
        </w:numPr>
      </w:pPr>
      <w:r>
        <w:t xml:space="preserve">add pair-level safety fields</w:t>
      </w:r>
    </w:p>
    <w:p>
      <w:pPr>
        <w:pStyle w:val="Compact"/>
        <w:numPr>
          <w:ilvl w:val="0"/>
          <w:numId w:val="1024"/>
        </w:numPr>
      </w:pPr>
      <w:r>
        <w:t xml:space="preserve">include safe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statements</w:t>
      </w:r>
    </w:p>
    <w:p>
      <w:pPr>
        <w:pStyle w:val="Compact"/>
        <w:numPr>
          <w:ilvl w:val="0"/>
          <w:numId w:val="1024"/>
        </w:numPr>
      </w:pPr>
      <w:r>
        <w:t xml:space="preserve">include check constraints only if compatible with current migration style</w:t>
      </w:r>
    </w:p>
    <w:bookmarkEnd w:id="115"/>
    <w:bookmarkStart w:id="116" w:name="step-3-populate-product-timing"/>
    <w:p>
      <w:pPr>
        <w:pStyle w:val="Heading2"/>
      </w:pPr>
      <w:r>
        <w:t xml:space="preserve">Step 3 — Populate Product Timing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supabase/compile_sql/07-timing-product-cadence.sql</w:t>
      </w:r>
    </w:p>
    <w:p>
      <w:pPr>
        <w:pStyle w:val="FirstParagraph"/>
      </w:pPr>
      <w:r>
        <w:t xml:space="preserve">Populate only values that can be supported or reasonably synthesized.</w:t>
      </w:r>
    </w:p>
    <w:p>
      <w:pPr>
        <w:pStyle w:val="BodyText"/>
      </w:pPr>
      <w:r>
        <w:t xml:space="preserve">Where confidence is lower, use notes instead of over-precise values.</w:t>
      </w:r>
    </w:p>
    <w:bookmarkEnd w:id="116"/>
    <w:bookmarkStart w:id="117" w:name="step-4-populate-pair-timing"/>
    <w:p>
      <w:pPr>
        <w:pStyle w:val="Heading2"/>
      </w:pPr>
      <w:r>
        <w:t xml:space="preserve">Step 4 — Populate Pair Timing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supabase/compile_sql/07-timing-pair-rules.sql</w:t>
      </w:r>
    </w:p>
    <w:p>
      <w:pPr>
        <w:pStyle w:val="FirstParagraph"/>
      </w:pPr>
      <w:r>
        <w:t xml:space="preserve">Update pair-level fields for:</w:t>
      </w:r>
    </w:p>
    <w:p>
      <w:pPr>
        <w:pStyle w:val="Compact"/>
        <w:numPr>
          <w:ilvl w:val="0"/>
          <w:numId w:val="1025"/>
        </w:numPr>
      </w:pPr>
      <w:r>
        <w:t xml:space="preserve">canonical pairs</w:t>
      </w:r>
    </w:p>
    <w:p>
      <w:pPr>
        <w:pStyle w:val="Compact"/>
        <w:numPr>
          <w:ilvl w:val="0"/>
          <w:numId w:val="1025"/>
        </w:numPr>
      </w:pPr>
      <w:r>
        <w:t xml:space="preserve">common pairs</w:t>
      </w:r>
    </w:p>
    <w:p>
      <w:pPr>
        <w:pStyle w:val="Compact"/>
        <w:numPr>
          <w:ilvl w:val="0"/>
          <w:numId w:val="1025"/>
        </w:numPr>
      </w:pPr>
      <w:r>
        <w:t xml:space="preserve">conditional timing-sensitive pairs</w:t>
      </w:r>
    </w:p>
    <w:p>
      <w:pPr>
        <w:pStyle w:val="Compact"/>
        <w:numPr>
          <w:ilvl w:val="0"/>
          <w:numId w:val="1025"/>
        </w:numPr>
      </w:pPr>
      <w:r>
        <w:t xml:space="preserve">safety-critical pairs</w:t>
      </w:r>
    </w:p>
    <w:p>
      <w:pPr>
        <w:pStyle w:val="Compact"/>
        <w:numPr>
          <w:ilvl w:val="0"/>
          <w:numId w:val="1025"/>
        </w:numPr>
      </w:pPr>
      <w:r>
        <w:t xml:space="preserve">do_not_market/rejected pairs where timing/safety is the reason</w:t>
      </w:r>
    </w:p>
    <w:bookmarkEnd w:id="117"/>
    <w:bookmarkStart w:id="118" w:name="step-5-create-review-artifacts"/>
    <w:p>
      <w:pPr>
        <w:pStyle w:val="Heading2"/>
      </w:pPr>
      <w:r>
        <w:t xml:space="preserve">Step 5 — Create Review Artifacts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TIMING_EVALUATION.md</w:t>
      </w:r>
      <w:r>
        <w:br/>
      </w:r>
      <w:r>
        <w:rPr>
          <w:rStyle w:val="VerbatimChar"/>
        </w:rPr>
        <w:t xml:space="preserve">TIMING_REVIEW.md</w:t>
      </w:r>
    </w:p>
    <w:p>
      <w:pPr>
        <w:pStyle w:val="FirstParagraph"/>
      </w:pPr>
      <w:r>
        <w:t xml:space="preserve">TIMING_EVALUATION should include all implemented timing rules and rationale.</w:t>
      </w:r>
    </w:p>
    <w:p>
      <w:pPr>
        <w:pStyle w:val="BodyText"/>
      </w:pPr>
      <w:r>
        <w:t xml:space="preserve">TIMING_REVIEW should include only rules needing Chris or technical lead approval.</w:t>
      </w:r>
    </w:p>
    <w:bookmarkEnd w:id="118"/>
    <w:bookmarkStart w:id="119" w:name="step-6-create-qa-report"/>
    <w:p>
      <w:pPr>
        <w:pStyle w:val="Heading2"/>
      </w:pPr>
      <w:r>
        <w:t xml:space="preserve">Step 6 — Create QA Report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TIMING_QA_REPORT.md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6"/>
        </w:numPr>
      </w:pPr>
      <w:r>
        <w:t xml:space="preserve">schema coverage</w:t>
      </w:r>
    </w:p>
    <w:p>
      <w:pPr>
        <w:pStyle w:val="Compact"/>
        <w:numPr>
          <w:ilvl w:val="0"/>
          <w:numId w:val="1026"/>
        </w:numPr>
      </w:pPr>
      <w:r>
        <w:t xml:space="preserve">product coverage</w:t>
      </w:r>
    </w:p>
    <w:p>
      <w:pPr>
        <w:pStyle w:val="Compact"/>
        <w:numPr>
          <w:ilvl w:val="0"/>
          <w:numId w:val="1026"/>
        </w:numPr>
      </w:pPr>
      <w:r>
        <w:t xml:space="preserve">pair coverage</w:t>
      </w:r>
    </w:p>
    <w:p>
      <w:pPr>
        <w:pStyle w:val="Compact"/>
        <w:numPr>
          <w:ilvl w:val="0"/>
          <w:numId w:val="1026"/>
        </w:numPr>
      </w:pPr>
      <w:r>
        <w:t xml:space="preserve">safety-critical rule count</w:t>
      </w:r>
    </w:p>
    <w:p>
      <w:pPr>
        <w:pStyle w:val="Compact"/>
        <w:numPr>
          <w:ilvl w:val="0"/>
          <w:numId w:val="1026"/>
        </w:numPr>
      </w:pPr>
      <w:r>
        <w:t xml:space="preserve">rows needing review</w:t>
      </w:r>
    </w:p>
    <w:p>
      <w:pPr>
        <w:pStyle w:val="Compact"/>
        <w:numPr>
          <w:ilvl w:val="0"/>
          <w:numId w:val="1026"/>
        </w:numPr>
      </w:pPr>
      <w:r>
        <w:t xml:space="preserve">known gaps</w:t>
      </w:r>
    </w:p>
    <w:p>
      <w:pPr>
        <w:pStyle w:val="Compact"/>
        <w:numPr>
          <w:ilvl w:val="0"/>
          <w:numId w:val="1026"/>
        </w:numPr>
      </w:pPr>
      <w:r>
        <w:t xml:space="preserve">deferred items</w:t>
      </w:r>
    </w:p>
    <w:bookmarkEnd w:id="119"/>
    <w:bookmarkStart w:id="120" w:name="Xe1aa9f6a5809583414c19699645a7a16c62d4df"/>
    <w:p>
      <w:pPr>
        <w:pStyle w:val="Heading2"/>
      </w:pPr>
      <w:r>
        <w:t xml:space="preserve">Step 7 — Do Not Expose Internal Research Source Names</w:t>
      </w:r>
    </w:p>
    <w:p>
      <w:pPr>
        <w:pStyle w:val="FirstParagraph"/>
      </w:pPr>
      <w:r>
        <w:t xml:space="preserve">When producing final artifacts, do not mention non-owned expert media sources.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practice-informed guidance</w:t>
      </w:r>
      <w:r>
        <w:br/>
      </w:r>
      <w:r>
        <w:rPr>
          <w:rStyle w:val="VerbatimChar"/>
        </w:rPr>
        <w:t xml:space="preserve">expert-informed consensus</w:t>
      </w:r>
      <w:r>
        <w:br/>
      </w:r>
      <w:r>
        <w:rPr>
          <w:rStyle w:val="VerbatimChar"/>
        </w:rPr>
        <w:t xml:space="preserve">A360 synthesis</w:t>
      </w:r>
      <w:r>
        <w:br/>
      </w:r>
      <w:r>
        <w:rPr>
          <w:rStyle w:val="VerbatimChar"/>
        </w:rPr>
        <w:t xml:space="preserve">common aesthetic practice pattern</w:t>
      </w:r>
    </w:p>
    <w:p>
      <w:pPr>
        <w:pStyle w:val="FirstParagraph"/>
      </w:pPr>
      <w:r>
        <w:t xml:space="preserve">Do not use source names, show names, episode names, quotes, or transcript references.</w:t>
      </w:r>
    </w:p>
    <w:p>
      <w:pPr>
        <w:pStyle w:val="BodyText"/>
      </w:pPr>
      <w:r>
        <w:t xml:space="preserve">Formal evidence sections should cite only FDA, PubMed, IFU, approved evidence_links, and owned/licensed materials.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final-phase-7-output-package"/>
    <w:p>
      <w:pPr>
        <w:pStyle w:val="Heading1"/>
      </w:pPr>
      <w:r>
        <w:t xml:space="preserve">13. Final Phase 7 Output Package</w:t>
      </w:r>
    </w:p>
    <w:p>
      <w:pPr>
        <w:pStyle w:val="FirstParagraph"/>
      </w:pPr>
      <w:r>
        <w:t xml:space="preserve">The implementation agent should return:</w:t>
      </w:r>
    </w:p>
    <w:p>
      <w:pPr>
        <w:pStyle w:val="SourceCode"/>
      </w:pPr>
      <w:r>
        <w:rPr>
          <w:rStyle w:val="VerbatimChar"/>
        </w:rPr>
        <w:t xml:space="preserve">1. supabase/migrations/07-timing-schema.sql</w:t>
      </w:r>
      <w:r>
        <w:br/>
      </w:r>
      <w:r>
        <w:rPr>
          <w:rStyle w:val="VerbatimChar"/>
        </w:rPr>
        <w:t xml:space="preserve">2. supabase/compile_sql/07-timing-product-cadence.sql</w:t>
      </w:r>
      <w:r>
        <w:br/>
      </w:r>
      <w:r>
        <w:rPr>
          <w:rStyle w:val="VerbatimChar"/>
        </w:rPr>
        <w:t xml:space="preserve">3. supabase/compile_sql/07-timing-pair-rules.sql</w:t>
      </w:r>
      <w:r>
        <w:br/>
      </w:r>
      <w:r>
        <w:rPr>
          <w:rStyle w:val="VerbatimChar"/>
        </w:rPr>
        <w:t xml:space="preserve">4. TIMING_EVALUATION.md</w:t>
      </w:r>
      <w:r>
        <w:br/>
      </w:r>
      <w:r>
        <w:rPr>
          <w:rStyle w:val="VerbatimChar"/>
        </w:rPr>
        <w:t xml:space="preserve">5. TIMING_REVIEW.md</w:t>
      </w:r>
      <w:r>
        <w:br/>
      </w:r>
      <w:r>
        <w:rPr>
          <w:rStyle w:val="VerbatimChar"/>
        </w:rPr>
        <w:t xml:space="preserve">6. TIMING_QA_REPORT.md</w:t>
      </w:r>
      <w:r>
        <w:br/>
      </w:r>
      <w:r>
        <w:rPr>
          <w:rStyle w:val="VerbatimChar"/>
        </w:rPr>
        <w:t xml:space="preserve">7. Optional: BOOKING_LOGIC_CHEAT_SHEET.md</w:t>
      </w:r>
    </w:p>
    <w:p>
      <w:pPr>
        <w:pStyle w:val="FirstParagraph"/>
      </w:pPr>
      <w:r>
        <w:t xml:space="preserve">The response back to Chris should summarize:</w:t>
      </w:r>
    </w:p>
    <w:p>
      <w:pPr>
        <w:pStyle w:val="Compact"/>
        <w:numPr>
          <w:ilvl w:val="0"/>
          <w:numId w:val="1027"/>
        </w:numPr>
      </w:pPr>
      <w:r>
        <w:t xml:space="preserve">what schema changed</w:t>
      </w:r>
    </w:p>
    <w:p>
      <w:pPr>
        <w:pStyle w:val="Compact"/>
        <w:numPr>
          <w:ilvl w:val="0"/>
          <w:numId w:val="1027"/>
        </w:numPr>
      </w:pPr>
      <w:r>
        <w:t xml:space="preserve">what data was populated</w:t>
      </w:r>
    </w:p>
    <w:p>
      <w:pPr>
        <w:pStyle w:val="Compact"/>
        <w:numPr>
          <w:ilvl w:val="0"/>
          <w:numId w:val="1027"/>
        </w:numPr>
      </w:pPr>
      <w:r>
        <w:t xml:space="preserve">what rules need review</w:t>
      </w:r>
    </w:p>
    <w:p>
      <w:pPr>
        <w:pStyle w:val="Compact"/>
        <w:numPr>
          <w:ilvl w:val="0"/>
          <w:numId w:val="1027"/>
        </w:numPr>
      </w:pPr>
      <w:r>
        <w:t xml:space="preserve">what was deferred to Phase 9</w:t>
      </w:r>
    </w:p>
    <w:p>
      <w:pPr>
        <w:pStyle w:val="Compact"/>
        <w:numPr>
          <w:ilvl w:val="0"/>
          <w:numId w:val="1027"/>
        </w:numPr>
      </w:pPr>
      <w:r>
        <w:t xml:space="preserve">what was deferred to Phase 10</w:t>
      </w:r>
    </w:p>
    <w:p>
      <w:pPr>
        <w:pStyle w:val="Compact"/>
        <w:numPr>
          <w:ilvl w:val="0"/>
          <w:numId w:val="1027"/>
        </w:numPr>
      </w:pPr>
      <w:r>
        <w:t xml:space="preserve">what evidence gaps remain</w:t>
      </w:r>
    </w:p>
    <w:p>
      <w:r>
        <w:pict>
          <v:rect style="width:0;height:1.5pt" o:hralign="center" o:hrstd="t" o:hr="t"/>
        </w:pict>
      </w:r>
    </w:p>
    <w:bookmarkEnd w:id="122"/>
    <w:bookmarkStart w:id="123" w:name="final-implementation-position"/>
    <w:p>
      <w:pPr>
        <w:pStyle w:val="Heading1"/>
      </w:pPr>
      <w:r>
        <w:t xml:space="preserve">14. Final Implementation Position</w:t>
      </w:r>
    </w:p>
    <w:p>
      <w:pPr>
        <w:pStyle w:val="FirstParagraph"/>
      </w:pPr>
      <w:r>
        <w:t xml:space="preserve">Phase 7 should proceed with the following locked direction:</w:t>
      </w:r>
    </w:p>
    <w:p>
      <w:pPr>
        <w:pStyle w:val="SourceCode"/>
      </w:pPr>
      <w:r>
        <w:rPr>
          <w:rStyle w:val="VerbatimChar"/>
        </w:rPr>
        <w:t xml:space="preserve">Default same-session posture: YES unless explicitly flagged.</w:t>
      </w:r>
      <w:r>
        <w:br/>
      </w:r>
      <w:r>
        <w:rPr>
          <w:rStyle w:val="VerbatimChar"/>
        </w:rPr>
        <w:t xml:space="preserve">Exception handling: hard_block / warning / education.</w:t>
      </w:r>
      <w:r>
        <w:br/>
      </w:r>
      <w:r>
        <w:rPr>
          <w:rStyle w:val="VerbatimChar"/>
        </w:rPr>
        <w:t xml:space="preserve">Product timing: full cadence profile + downtime.</w:t>
      </w:r>
      <w:r>
        <w:br/>
      </w:r>
      <w:r>
        <w:rPr>
          <w:rStyle w:val="VerbatimChar"/>
        </w:rPr>
        <w:t xml:space="preserve">Pair timing: same-session + staging + safety-critical warnings.</w:t>
      </w:r>
      <w:r>
        <w:br/>
      </w:r>
      <w:r>
        <w:rPr>
          <w:rStyle w:val="VerbatimChar"/>
        </w:rPr>
        <w:t xml:space="preserve">Schema: extend products and item_relationships; no new timing table.</w:t>
      </w:r>
      <w:r>
        <w:br/>
      </w:r>
      <w:r>
        <w:rPr>
          <w:rStyle w:val="VerbatimChar"/>
        </w:rPr>
        <w:t xml:space="preserve">Event timelines: defer to Phase 9.</w:t>
      </w:r>
      <w:r>
        <w:br/>
      </w:r>
      <w:r>
        <w:rPr>
          <w:rStyle w:val="VerbatimChar"/>
        </w:rPr>
        <w:t xml:space="preserve">Agent fuel: defer to Phase 10.</w:t>
      </w:r>
      <w:r>
        <w:br/>
      </w:r>
      <w:r>
        <w:rPr>
          <w:rStyle w:val="VerbatimChar"/>
        </w:rPr>
        <w:t xml:space="preserve">Evidence exposure: formal citations only; internal practice intelligence is synthesized, not cited.</w:t>
      </w:r>
      <w:r>
        <w:br/>
      </w:r>
      <w:r>
        <w:rPr>
          <w:rStyle w:val="VerbatimChar"/>
        </w:rPr>
        <w:t xml:space="preserve">Review: Chris reviews safety-sensitive and business/liability-sensitive timing choices.</w:t>
      </w:r>
    </w:p>
    <w:p>
      <w:pPr>
        <w:pStyle w:val="FirstParagraph"/>
      </w:pPr>
      <w:r>
        <w:t xml:space="preserve">This gives A360 the timing infrastructure needed for pairing, packages, care plans, booking logic, and agent fuel without overbuilding a separate timing subsystem.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2026-06-13T20:43:56Z</dcterms:created>
  <dcterms:modified xsi:type="dcterms:W3CDTF">2026-06-13T20:43:56Z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