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Propuesta técnica y económica</w:t>
      </w:r>
    </w:p>
    <w:p>
      <w:pPr>
        <w:pStyle w:val="Subtitle"/>
      </w:pPr>
      <w:r>
        <w:t>Motor de análisis documental y portal administrativo</w:t>
      </w:r>
    </w:p>
    <w:p>
      <w:r>
        <w:t>AFP Occidente</w:t>
        <w:br/>
        <w:t>Integración con Oracle APEX e implementación en infraestructura del banco</w:t>
      </w:r>
    </w:p>
    <w:p>
      <w:r>
        <w:t>MACAO Solutions S. de R.L. | 14 de septiembre de 2026 | Versión 2.0</w:t>
      </w:r>
    </w:p>
    <w:p>
      <w:pPr>
        <w:pStyle w:val="Heading2"/>
      </w:pPr>
      <w:r>
        <w:t>Objeto de la propuesta</w:t>
      </w:r>
    </w:p>
    <w:p>
      <w:r>
        <w:t>MACAO propone desarrollar e implementar un motor de análisis documental con portal administrativo propio, integrado con la aplicación Oracle APEX del banco. La solución permitirá recibir expedientes, analizar datos y documentos, administrar reglas y devolver resultados trazables para la revisión del personal autorizado.</w:t>
      </w:r>
    </w:p>
    <w:p>
      <w:r>
        <w:t>El alcance aprovecha los avances del equipo de IT de Banco de Occidente, que mantiene los formularios, la bandeja de calidad y la integración con el sistema central. MACAO desarrollará también las pantallas de su portal administrativo. La inversión se ajusta de L 190,000 a L 170,000 más ISV, manteniendo ocho semanas de ejecución.</w:t>
      </w:r>
    </w:p>
    <w:p>
      <w:pPr>
        <w:pStyle w:val="Heading2"/>
      </w:pPr>
      <w:r>
        <w:t>1 Inversión y forma de pago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74"/>
        <w:gridCol w:w="1987"/>
        <w:gridCol w:w="1845"/>
        <w:gridCol w:w="2129"/>
      </w:tblGrid>
      <w:tr>
        <w:trPr>
          <w:cantSplit/>
          <w:tblHeader/>
        </w:trPr>
        <w:tc>
          <w:tcPr>
            <w:tcW w:type="dxa" w:w="3974"/>
            <w:vAlign w:val="center"/>
            <w:shd w:fill="242021"/>
            <w:tcMar>
              <w:top w:w="85" w:type="dxa"/>
              <w:left w:w="85" w:type="dxa"/>
              <w:bottom w:w="85" w:type="dxa"/>
              <w:right w:w="85" w:type="dxa"/>
            </w:tcMar>
            <w:tcBorders>
              <w:bottom w:val="single" w:sz="8" w:color="FF0006"/>
            </w:tcBorders>
          </w:tcPr>
          <w:p>
            <w:pPr>
              <w:spacing w:after="20" w:before="20" w:line="245" w:lineRule="auto"/>
            </w:pPr>
            <w:r>
              <w:rPr>
                <w:b/>
                <w:sz w:val="20"/>
                <w:color w:val="FFFFFF"/>
              </w:rPr>
              <w:t>Concepto</w:t>
            </w:r>
          </w:p>
        </w:tc>
        <w:tc>
          <w:tcPr>
            <w:tcW w:type="dxa" w:w="1987"/>
            <w:vAlign w:val="center"/>
            <w:shd w:fill="242021"/>
            <w:tcMar>
              <w:top w:w="85" w:type="dxa"/>
              <w:left w:w="85" w:type="dxa"/>
              <w:bottom w:w="85" w:type="dxa"/>
              <w:right w:w="85" w:type="dxa"/>
            </w:tcMar>
            <w:tcBorders>
              <w:bottom w:val="single" w:sz="8" w:color="FF0006"/>
            </w:tcBorders>
          </w:tcPr>
          <w:p>
            <w:pPr>
              <w:spacing w:after="20" w:before="20" w:line="245" w:lineRule="auto"/>
            </w:pPr>
            <w:r>
              <w:rPr>
                <w:b/>
                <w:sz w:val="20"/>
                <w:color w:val="FFFFFF"/>
              </w:rPr>
              <w:t>Base</w:t>
            </w:r>
          </w:p>
        </w:tc>
        <w:tc>
          <w:tcPr>
            <w:tcW w:type="dxa" w:w="1845"/>
            <w:vAlign w:val="center"/>
            <w:shd w:fill="242021"/>
            <w:tcMar>
              <w:top w:w="85" w:type="dxa"/>
              <w:left w:w="85" w:type="dxa"/>
              <w:bottom w:w="85" w:type="dxa"/>
              <w:right w:w="85" w:type="dxa"/>
            </w:tcMar>
            <w:tcBorders>
              <w:bottom w:val="single" w:sz="8" w:color="FF0006"/>
            </w:tcBorders>
          </w:tcPr>
          <w:p>
            <w:pPr>
              <w:spacing w:after="20" w:before="20" w:line="245" w:lineRule="auto"/>
            </w:pPr>
            <w:r>
              <w:rPr>
                <w:b/>
                <w:sz w:val="20"/>
                <w:color w:val="FFFFFF"/>
              </w:rPr>
              <w:t>ISV 15%</w:t>
            </w:r>
          </w:p>
        </w:tc>
        <w:tc>
          <w:tcPr>
            <w:tcW w:type="dxa" w:w="2129"/>
            <w:vAlign w:val="center"/>
            <w:shd w:fill="242021"/>
            <w:tcMar>
              <w:top w:w="85" w:type="dxa"/>
              <w:left w:w="85" w:type="dxa"/>
              <w:bottom w:w="85" w:type="dxa"/>
              <w:right w:w="85" w:type="dxa"/>
            </w:tcMar>
            <w:tcBorders>
              <w:bottom w:val="single" w:sz="8" w:color="FF0006"/>
            </w:tcBorders>
          </w:tcPr>
          <w:p>
            <w:pPr>
              <w:spacing w:after="20" w:before="20" w:line="245" w:lineRule="auto"/>
            </w:pPr>
            <w:r>
              <w:rPr>
                <w:b/>
                <w:sz w:val="20"/>
                <w:color w:val="FFFFFF"/>
              </w:rPr>
              <w:t>Total</w:t>
            </w:r>
          </w:p>
        </w:tc>
      </w:tr>
      <w:tr>
        <w:trPr>
          <w:cantSplit/>
        </w:trPr>
        <w:tc>
          <w:tcPr>
            <w:tcW w:type="dxa" w:w="3974"/>
            <w:vAlign w:val="center"/>
            <w:shd w:fill="FFFFFF"/>
            <w:tcMar>
              <w:top w:w="85" w:type="dxa"/>
              <w:left w:w="85" w:type="dxa"/>
              <w:bottom w:w="85" w:type="dxa"/>
              <w:right w:w="85" w:type="dxa"/>
            </w:tcMar>
          </w:tcPr>
          <w:p>
            <w:pPr>
              <w:spacing w:after="20" w:before="20" w:line="245" w:lineRule="auto"/>
            </w:pPr>
            <w:r>
              <w:rPr>
                <w:b w:val="0"/>
                <w:sz w:val="20"/>
                <w:color w:val="242021"/>
                <w:b/>
              </w:rPr>
              <w:t>Desarrollo e implementación</w:t>
            </w:r>
          </w:p>
        </w:tc>
        <w:tc>
          <w:tcPr>
            <w:tcW w:type="dxa" w:w="1987"/>
            <w:vAlign w:val="center"/>
            <w:shd w:fill="FFFFFF"/>
            <w:tcMar>
              <w:top w:w="85" w:type="dxa"/>
              <w:left w:w="85" w:type="dxa"/>
              <w:bottom w:w="85" w:type="dxa"/>
              <w:right w:w="85" w:type="dxa"/>
            </w:tcMar>
          </w:tcPr>
          <w:p>
            <w:pPr>
              <w:spacing w:after="20" w:before="20" w:line="245" w:lineRule="auto"/>
              <w:jc w:val="right"/>
            </w:pPr>
            <w:r>
              <w:rPr>
                <w:b w:val="0"/>
                <w:sz w:val="20"/>
                <w:color w:val="242021"/>
                <w:b/>
              </w:rPr>
              <w:t>L 170,000</w:t>
            </w:r>
          </w:p>
        </w:tc>
        <w:tc>
          <w:tcPr>
            <w:tcW w:type="dxa" w:w="1845"/>
            <w:vAlign w:val="center"/>
            <w:shd w:fill="FFFFFF"/>
            <w:tcMar>
              <w:top w:w="85" w:type="dxa"/>
              <w:left w:w="85" w:type="dxa"/>
              <w:bottom w:w="85" w:type="dxa"/>
              <w:right w:w="85" w:type="dxa"/>
            </w:tcMar>
          </w:tcPr>
          <w:p>
            <w:pPr>
              <w:spacing w:after="20" w:before="20" w:line="245" w:lineRule="auto"/>
              <w:jc w:val="right"/>
            </w:pPr>
            <w:r>
              <w:rPr>
                <w:b w:val="0"/>
                <w:sz w:val="20"/>
                <w:color w:val="242021"/>
                <w:b/>
              </w:rPr>
              <w:t>L 25,500</w:t>
            </w:r>
          </w:p>
        </w:tc>
        <w:tc>
          <w:tcPr>
            <w:tcW w:type="dxa" w:w="2129"/>
            <w:vAlign w:val="center"/>
            <w:shd w:fill="FFFFFF"/>
            <w:tcMar>
              <w:top w:w="85" w:type="dxa"/>
              <w:left w:w="85" w:type="dxa"/>
              <w:bottom w:w="85" w:type="dxa"/>
              <w:right w:w="85" w:type="dxa"/>
            </w:tcMar>
          </w:tcPr>
          <w:p>
            <w:pPr>
              <w:spacing w:after="20" w:before="20" w:line="245" w:lineRule="auto"/>
              <w:jc w:val="right"/>
            </w:pPr>
            <w:r>
              <w:rPr>
                <w:b w:val="0"/>
                <w:sz w:val="20"/>
                <w:color w:val="242021"/>
                <w:b/>
              </w:rPr>
              <w:t>L 195,500</w:t>
            </w:r>
          </w:p>
        </w:tc>
      </w:tr>
      <w:tr>
        <w:trPr>
          <w:cantSplit/>
        </w:trPr>
        <w:tc>
          <w:tcPr>
            <w:tcW w:type="dxa" w:w="3974"/>
            <w:vAlign w:val="center"/>
            <w:shd w:fill="F5F5F5"/>
            <w:tcMar>
              <w:top w:w="85" w:type="dxa"/>
              <w:left w:w="85" w:type="dxa"/>
              <w:bottom w:w="85" w:type="dxa"/>
              <w:right w:w="85" w:type="dxa"/>
            </w:tcMar>
          </w:tcPr>
          <w:p>
            <w:pPr>
              <w:spacing w:after="20" w:before="20" w:line="245" w:lineRule="auto"/>
            </w:pPr>
            <w:r>
              <w:rPr>
                <w:b w:val="0"/>
                <w:sz w:val="20"/>
                <w:color w:val="242021"/>
              </w:rPr>
              <w:t>Anticipo del 50%</w:t>
            </w:r>
          </w:p>
        </w:tc>
        <w:tc>
          <w:tcPr>
            <w:tcW w:type="dxa" w:w="1987"/>
            <w:vAlign w:val="center"/>
            <w:shd w:fill="F5F5F5"/>
            <w:tcMar>
              <w:top w:w="85" w:type="dxa"/>
              <w:left w:w="85" w:type="dxa"/>
              <w:bottom w:w="85" w:type="dxa"/>
              <w:right w:w="85" w:type="dxa"/>
            </w:tcMar>
          </w:tcPr>
          <w:p>
            <w:pPr>
              <w:spacing w:after="20" w:before="20" w:line="245" w:lineRule="auto"/>
              <w:jc w:val="right"/>
            </w:pPr>
            <w:r>
              <w:rPr>
                <w:b w:val="0"/>
                <w:sz w:val="20"/>
                <w:color w:val="242021"/>
              </w:rPr>
              <w:t>L 85,000</w:t>
            </w:r>
          </w:p>
        </w:tc>
        <w:tc>
          <w:tcPr>
            <w:tcW w:type="dxa" w:w="1845"/>
            <w:vAlign w:val="center"/>
            <w:shd w:fill="F5F5F5"/>
            <w:tcMar>
              <w:top w:w="85" w:type="dxa"/>
              <w:left w:w="85" w:type="dxa"/>
              <w:bottom w:w="85" w:type="dxa"/>
              <w:right w:w="85" w:type="dxa"/>
            </w:tcMar>
          </w:tcPr>
          <w:p>
            <w:pPr>
              <w:spacing w:after="20" w:before="20" w:line="245" w:lineRule="auto"/>
              <w:jc w:val="right"/>
            </w:pPr>
            <w:r>
              <w:rPr>
                <w:b w:val="0"/>
                <w:sz w:val="20"/>
                <w:color w:val="242021"/>
              </w:rPr>
              <w:t>L 12,750</w:t>
            </w:r>
          </w:p>
        </w:tc>
        <w:tc>
          <w:tcPr>
            <w:tcW w:type="dxa" w:w="2129"/>
            <w:vAlign w:val="center"/>
            <w:shd w:fill="F5F5F5"/>
            <w:tcMar>
              <w:top w:w="85" w:type="dxa"/>
              <w:left w:w="85" w:type="dxa"/>
              <w:bottom w:w="85" w:type="dxa"/>
              <w:right w:w="85" w:type="dxa"/>
            </w:tcMar>
          </w:tcPr>
          <w:p>
            <w:pPr>
              <w:spacing w:after="20" w:before="20" w:line="245" w:lineRule="auto"/>
              <w:jc w:val="right"/>
            </w:pPr>
            <w:r>
              <w:rPr>
                <w:b w:val="0"/>
                <w:sz w:val="20"/>
                <w:color w:val="242021"/>
              </w:rPr>
              <w:t>L 97,750</w:t>
            </w:r>
          </w:p>
        </w:tc>
      </w:tr>
      <w:tr>
        <w:trPr>
          <w:cantSplit/>
        </w:trPr>
        <w:tc>
          <w:tcPr>
            <w:tcW w:type="dxa" w:w="3974"/>
            <w:vAlign w:val="center"/>
            <w:shd w:fill="FFFFFF"/>
            <w:tcMar>
              <w:top w:w="85" w:type="dxa"/>
              <w:left w:w="85" w:type="dxa"/>
              <w:bottom w:w="85" w:type="dxa"/>
              <w:right w:w="85" w:type="dxa"/>
            </w:tcMar>
          </w:tcPr>
          <w:p>
            <w:pPr>
              <w:spacing w:after="20" w:before="20" w:line="245" w:lineRule="auto"/>
            </w:pPr>
            <w:r>
              <w:rPr>
                <w:b w:val="0"/>
                <w:sz w:val="20"/>
                <w:color w:val="242021"/>
              </w:rPr>
              <w:t>Aceptación final del 50%</w:t>
            </w:r>
          </w:p>
        </w:tc>
        <w:tc>
          <w:tcPr>
            <w:tcW w:type="dxa" w:w="1987"/>
            <w:vAlign w:val="center"/>
            <w:shd w:fill="FFFFFF"/>
            <w:tcMar>
              <w:top w:w="85" w:type="dxa"/>
              <w:left w:w="85" w:type="dxa"/>
              <w:bottom w:w="85" w:type="dxa"/>
              <w:right w:w="85" w:type="dxa"/>
            </w:tcMar>
          </w:tcPr>
          <w:p>
            <w:pPr>
              <w:spacing w:after="20" w:before="20" w:line="245" w:lineRule="auto"/>
              <w:jc w:val="right"/>
            </w:pPr>
            <w:r>
              <w:rPr>
                <w:b w:val="0"/>
                <w:sz w:val="20"/>
                <w:color w:val="242021"/>
              </w:rPr>
              <w:t>L 85,000</w:t>
            </w:r>
          </w:p>
        </w:tc>
        <w:tc>
          <w:tcPr>
            <w:tcW w:type="dxa" w:w="1845"/>
            <w:vAlign w:val="center"/>
            <w:shd w:fill="FFFFFF"/>
            <w:tcMar>
              <w:top w:w="85" w:type="dxa"/>
              <w:left w:w="85" w:type="dxa"/>
              <w:bottom w:w="85" w:type="dxa"/>
              <w:right w:w="85" w:type="dxa"/>
            </w:tcMar>
          </w:tcPr>
          <w:p>
            <w:pPr>
              <w:spacing w:after="20" w:before="20" w:line="245" w:lineRule="auto"/>
              <w:jc w:val="right"/>
            </w:pPr>
            <w:r>
              <w:rPr>
                <w:b w:val="0"/>
                <w:sz w:val="20"/>
                <w:color w:val="242021"/>
              </w:rPr>
              <w:t>L 12,750</w:t>
            </w:r>
          </w:p>
        </w:tc>
        <w:tc>
          <w:tcPr>
            <w:tcW w:type="dxa" w:w="2129"/>
            <w:vAlign w:val="center"/>
            <w:shd w:fill="FFFFFF"/>
            <w:tcMar>
              <w:top w:w="85" w:type="dxa"/>
              <w:left w:w="85" w:type="dxa"/>
              <w:bottom w:w="85" w:type="dxa"/>
              <w:right w:w="85" w:type="dxa"/>
            </w:tcMar>
          </w:tcPr>
          <w:p>
            <w:pPr>
              <w:spacing w:after="20" w:before="20" w:line="245" w:lineRule="auto"/>
              <w:jc w:val="right"/>
            </w:pPr>
            <w:r>
              <w:rPr>
                <w:b w:val="0"/>
                <w:sz w:val="20"/>
                <w:color w:val="242021"/>
              </w:rPr>
              <w:t>L 97,750</w:t>
            </w:r>
          </w:p>
        </w:tc>
      </w:tr>
    </w:tbl>
    <w:p/>
    <w:p>
      <w:r>
        <w:t>Los importes mantienen el cálculo de ISV de la propuesta anterior, sujeto al tratamiento fiscal aplicable y a cualquier exoneración acreditada. Las retenciones procedentes se documentarán con su constancia.</w:t>
      </w:r>
    </w:p>
    <w:p>
      <w:pPr>
        <w:pStyle w:val="Heading2"/>
      </w:pPr>
      <w:r>
        <w:t>Condiciones principales</w:t>
      </w:r>
    </w:p>
    <w:p>
      <w:pPr>
        <w:pStyle w:val="ListBullet"/>
      </w:pPr>
      <w:r>
        <w:t>Ocho semanas desde el acta de inicio, el anticipo efectivo y la disponibilidad de los prerrequisitos; piloto integrado previsto en la semana 6.</w:t>
      </w:r>
    </w:p>
    <w:p>
      <w:pPr>
        <w:pStyle w:val="ListBullet"/>
      </w:pPr>
      <w:r>
        <w:t>Facturas pagaderas en quince días calendario desde su recepción. El segundo pago corresponde a la aceptación final según la sección 8.</w:t>
      </w:r>
    </w:p>
    <w:p>
      <w:pPr>
        <w:pStyle w:val="ListBullet"/>
      </w:pPr>
      <w:r>
        <w:t>Treinta días calendario de garantía correctiva. Infraestructura, base de datos, almacenamiento y consumo de Gemini provistos por el banco.</w:t>
      </w:r>
    </w:p>
    <w:p>
      <w:r>
        <w:br w:type="page"/>
      </w:r>
    </w:p>
    <w:p>
      <w:pPr>
        <w:pStyle w:val="Heading1"/>
      </w:pPr>
      <w:r>
        <w:t>2 Alcance del motor de análisis</w:t>
      </w:r>
    </w:p>
    <w:p>
      <w:r>
        <w:t>El motor recibirá los datos y documentos asociados al expediente identificado por APEX y devolverá resultados estructurados. La aprobación de afiliación o cumplimiento corresponde al personal autorizado del banco.</w:t>
      </w:r>
    </w:p>
    <w:p>
      <w:pPr>
        <w:pStyle w:val="Heading2"/>
      </w:pPr>
      <w:r>
        <w:t>Recepción y procesamiento</w:t>
      </w:r>
    </w:p>
    <w:p>
      <w:pPr>
        <w:pStyle w:val="ListBullet"/>
      </w:pPr>
      <w:r>
        <w:t>Recepción autenticada de datos y documentos, o referencias seguras al repositorio del banco, con validación de formato, tamaño e identificación del expediente.</w:t>
      </w:r>
    </w:p>
    <w:p>
      <w:pPr>
        <w:pStyle w:val="ListBullet"/>
      </w:pPr>
      <w:r>
        <w:t>Procesamiento en segundo plano, estados de ejecución y registro de errores. Control de solicitudes duplicadas y reintentos para evitar reprocesos involuntarios.</w:t>
      </w:r>
    </w:p>
    <w:p>
      <w:pPr>
        <w:pStyle w:val="ListBullet"/>
      </w:pPr>
      <w:r>
        <w:t>Asociación de cada análisis con la versión del expediente, los documentos y las reglas utilizadas. Las correcciones generarán una nueva versión identificable.</w:t>
      </w:r>
    </w:p>
    <w:p>
      <w:pPr>
        <w:pStyle w:val="Heading2"/>
      </w:pPr>
      <w:r>
        <w:t>Análisis documental y reglas</w:t>
      </w:r>
    </w:p>
    <w:p>
      <w:pPr>
        <w:pStyle w:val="ListBullet"/>
      </w:pPr>
      <w:r>
        <w:t>Clasificación de documentos, extracción de campos y evidencia de origen cuando el documento lo permita; identificación de resultados incompletos o de baja confianza.</w:t>
      </w:r>
    </w:p>
    <w:p>
      <w:pPr>
        <w:pStyle w:val="ListBullet"/>
      </w:pPr>
      <w:r>
        <w:t>Matriz de documentos requeridos por tipo de expediente, porcentaje de completitud y detección de faltantes.</w:t>
      </w:r>
    </w:p>
    <w:p>
      <w:pPr>
        <w:pStyle w:val="ListBullet"/>
      </w:pPr>
      <w:r>
        <w:t>Validaciones de consistencia entre formulario y documentos; controles sobre identidad, presencia de firmas, FATCA y procedencia de fondos, conforme a las reglas aprobadas.</w:t>
      </w:r>
    </w:p>
    <w:p>
      <w:pPr>
        <w:pStyle w:val="ListBullet"/>
      </w:pPr>
      <w:r>
        <w:t>Categorización, observaciones y recomendación orientativa para continuar, subsanar o escalar a revisión humana. No incluye certificación de autenticidad ni verificación biométrica.</w:t>
      </w:r>
    </w:p>
    <w:p>
      <w:pPr>
        <w:pStyle w:val="ListBullet"/>
      </w:pPr>
      <w:r>
        <w:t>Reanálisis controlado al recibir correcciones, con conservación del historial y referencias de evidencia.</w:t>
      </w:r>
    </w:p>
    <w:p>
      <w:pPr>
        <w:pStyle w:val="Heading2"/>
      </w:pPr>
      <w:r>
        <w:t>Resultados para APEX</w:t>
      </w:r>
    </w:p>
    <w:p>
      <w:r>
        <w:t>La respuesta incluirá identificadores, versión, estado, clasificación documental, campos extraídos, faltantes, inconsistencias, reglas aplicadas, evidencia disponible y recomendación. Un resultado no disponible por error técnico se distinguirá de un expediente sin observaciones; no se interpretará como aprobación.</w:t>
      </w:r>
    </w:p>
    <w:p>
      <w:pPr>
        <w:pStyle w:val="Heading2"/>
      </w:pPr>
      <w:r>
        <w:t>Delimitación de reglas y documentos</w:t>
      </w:r>
    </w:p>
    <w:p>
      <w:r>
        <w:t>En la semana 1 se aprobará la matriz de tipos documentales, campos, categorías, reglas y escenarios incluidos. Se utilizarán muestras representativas autorizadas por el banco para acordar criterios de calidad y rendimiento. No se prometen porcentajes de precisión sin esa validación.</w:t>
      </w:r>
    </w:p>
    <w:p>
      <w:r>
        <w:t>La configuración permitirá ajustar las condiciones soportadas, obligatoriedad, umbrales y categorías acordadas. Nuevas familias de validación, nuevos procesos de negocio o integraciones adicionales requieren evaluación de alcance.</w:t>
      </w:r>
    </w:p>
    <w:p>
      <w:r>
        <w:br w:type="page"/>
      </w:r>
    </w:p>
    <w:p>
      <w:pPr>
        <w:pStyle w:val="Heading1"/>
      </w:pPr>
      <w:r>
        <w:t>3 Portal administrativo e integración</w:t>
      </w:r>
    </w:p>
    <w:p>
      <w:pPr>
        <w:pStyle w:val="Heading2"/>
      </w:pPr>
      <w:r>
        <w:t>Portal administrativo desarrollado por MACAO</w:t>
      </w:r>
    </w:p>
    <w:p>
      <w:r>
        <w:t>MACAO entregará un portal web con pantallas propias para que el personal autorizado del banco administre el motor sin solicitar desarrollo para cada ajuste habitual dentro de las capacidades contratadas.</w:t>
      </w:r>
    </w:p>
    <w:p>
      <w:pPr>
        <w:pStyle w:val="ListBullet"/>
      </w:pPr>
      <w:r>
        <w:t>Acceso autenticado y administración de usuarios y permisos del portal. Perfiles de administración, configuración, operación y consulta, con permisos diferenciados para editar y publicar.</w:t>
      </w:r>
    </w:p>
    <w:p>
      <w:pPr>
        <w:pStyle w:val="ListBullet"/>
      </w:pPr>
      <w:r>
        <w:t>Pantallas para gestionar reglas, matrices documentales, categorías, umbrales y parámetros funcionales soportados; consulta, edición, activación y desactivación.</w:t>
      </w:r>
    </w:p>
    <w:p>
      <w:pPr>
        <w:pStyle w:val="ListBullet"/>
      </w:pPr>
      <w:r>
        <w:t>Borradores de configuración, pruebas con expedientes autorizados antes de publicar, versionado y recuperación de una versión anterior. Los análisis históricos conservarán sus referencias originales.</w:t>
      </w:r>
    </w:p>
    <w:p>
      <w:pPr>
        <w:pStyle w:val="ListBullet"/>
      </w:pPr>
      <w:r>
        <w:t>Consulta de análisis y estados, detalle de errores, historial de resultados y solicitud autorizada de reprocesos.</w:t>
      </w:r>
    </w:p>
    <w:p>
      <w:pPr>
        <w:pStyle w:val="ListBullet"/>
      </w:pPr>
      <w:r>
        <w:t>Auditoría de cambios con usuario, fecha y valores modificados; registro de publicaciones y de la versión aplicada a cada análisis.</w:t>
      </w:r>
    </w:p>
    <w:p>
      <w:pPr>
        <w:pStyle w:val="ListBullet"/>
      </w:pPr>
      <w:r>
        <w:t>Configuración controlada de las conexiones incluidas, con secretos fuera del navegador y del código. Cambios de destinos externos restringidos y auditados.</w:t>
      </w:r>
    </w:p>
    <w:p>
      <w:pPr>
        <w:pStyle w:val="Heading2"/>
      </w:pPr>
      <w:r>
        <w:t>Integración con Oracle APEX</w:t>
      </w:r>
    </w:p>
    <w:p>
      <w:r>
        <w:t>Se incluye una integración REST/JSON entre APEX y el motor, para los flujos de solicitud de análisis, consulta de estado, recuperación de resultados y reanálisis. Cada equipo implementará su extremo. El contrato de API y los ejemplos de solicitudes, respuestas y errores se acordarán en la semana 1.</w:t>
      </w:r>
    </w:p>
    <w:p>
      <w:r>
        <w:t>La base será consulta de estado y resultados desde APEX. Una notificación automática de finalización podrá sustituir ese mecanismo si se acuerda al definir el contrato técnico; mecanismos adicionales se evaluarán antes de incorporarlos.</w:t>
      </w:r>
    </w:p>
    <w:p>
      <w:r>
        <w:t>Se contemplan autenticación de servicio, cifrado HTTPS, control de duplicados, tiempos de espera, reintentos acotados y correlación de registros. Se definirá un mecanismo de intercambio documental y una modalidad de persistencia en los servicios del banco, incluyendo la adaptación inicial correspondiente.</w:t>
      </w:r>
    </w:p>
    <w:p>
      <w:pPr>
        <w:pStyle w:val="Heading2"/>
      </w:pPr>
      <w:r>
        <w:t>Frontera con la aplicación del banco</w:t>
      </w:r>
    </w:p>
    <w:p>
      <w:r>
        <w:t>Los formularios, carga y custodia del expediente oficial, bandeja de calidad, decisión humana y envío al sistema central quedan a cargo de IT del banco. También corresponden al banco los canales de correo, notificaciones operativas y captura móvil o QR que decida mantener.</w:t>
      </w:r>
    </w:p>
    <w:p>
      <w:r>
        <w:t>El portal MACAO administra el motor y su operación técnica; no replica la bandeja de calidad de APEX. La administración de conexiones no incluye un diseñador genérico de APIs ni creación automática de nuevos endpoints. La integración con identidad corporativa se precisará en el acta técnica; la base incluye autenticación propia del portal.</w:t>
      </w:r>
    </w:p>
    <w:p>
      <w:r>
        <w:br w:type="page"/>
      </w:r>
    </w:p>
    <w:p>
      <w:pPr>
        <w:pStyle w:val="Heading1"/>
      </w:pPr>
      <w:r>
        <w:t>4 Infraestructura y servicio Gemini</w:t>
      </w:r>
    </w:p>
    <w:p>
      <w:r>
        <w:t>El banco facilitará y administrará los ambientes de pruebas y producción. MACAO instalará su solución y realizará la adaptación inicial a la base y al repositorio acordados. No se requiere contratar infraestructura AWS a MACAO.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2"/>
        <w:gridCol w:w="7594"/>
      </w:tblGrid>
      <w:tr>
        <w:trPr>
          <w:cantSplit/>
          <w:tblHeader/>
        </w:trPr>
        <w:tc>
          <w:tcPr>
            <w:tcW w:type="dxa" w:w="2342"/>
            <w:vAlign w:val="center"/>
            <w:shd w:fill="242021"/>
            <w:tcMar>
              <w:top w:w="85" w:type="dxa"/>
              <w:left w:w="85" w:type="dxa"/>
              <w:bottom w:w="85" w:type="dxa"/>
              <w:right w:w="85" w:type="dxa"/>
            </w:tcMar>
            <w:tcBorders>
              <w:bottom w:val="single" w:sz="8" w:color="FF0006"/>
            </w:tcBorders>
          </w:tcPr>
          <w:p>
            <w:pPr>
              <w:spacing w:after="20" w:before="20" w:line="245" w:lineRule="auto"/>
            </w:pPr>
            <w:r>
              <w:rPr>
                <w:b/>
                <w:sz w:val="20"/>
                <w:color w:val="FFFFFF"/>
              </w:rPr>
              <w:t>Recurso</w:t>
            </w:r>
          </w:p>
        </w:tc>
        <w:tc>
          <w:tcPr>
            <w:tcW w:type="dxa" w:w="7594"/>
            <w:vAlign w:val="center"/>
            <w:shd w:fill="242021"/>
            <w:tcMar>
              <w:top w:w="85" w:type="dxa"/>
              <w:left w:w="85" w:type="dxa"/>
              <w:bottom w:w="85" w:type="dxa"/>
              <w:right w:w="85" w:type="dxa"/>
            </w:tcMar>
            <w:tcBorders>
              <w:bottom w:val="single" w:sz="8" w:color="FF0006"/>
            </w:tcBorders>
          </w:tcPr>
          <w:p>
            <w:pPr>
              <w:spacing w:after="20" w:before="20" w:line="245" w:lineRule="auto"/>
            </w:pPr>
            <w:r>
              <w:rPr>
                <w:b/>
                <w:sz w:val="20"/>
                <w:color w:val="FFFFFF"/>
              </w:rPr>
              <w:t>Requerimiento inicial propuesto</w:t>
            </w:r>
          </w:p>
        </w:tc>
      </w:tr>
      <w:tr>
        <w:trPr>
          <w:cantSplit/>
        </w:trPr>
        <w:tc>
          <w:tcPr>
            <w:tcW w:type="dxa" w:w="2342"/>
            <w:vAlign w:val="center"/>
            <w:shd w:fill="FFFFFF"/>
            <w:tcMar>
              <w:top w:w="85" w:type="dxa"/>
              <w:left w:w="85" w:type="dxa"/>
              <w:bottom w:w="85" w:type="dxa"/>
              <w:right w:w="85" w:type="dxa"/>
            </w:tcMar>
          </w:tcPr>
          <w:p>
            <w:pPr>
              <w:spacing w:after="20" w:before="20" w:line="245" w:lineRule="auto"/>
            </w:pPr>
            <w:r>
              <w:rPr>
                <w:b w:val="0"/>
                <w:sz w:val="20"/>
                <w:color w:val="242021"/>
              </w:rPr>
              <w:t>Servidor de producción</w:t>
            </w:r>
          </w:p>
        </w:tc>
        <w:tc>
          <w:tcPr>
            <w:tcW w:type="dxa" w:w="7594"/>
            <w:vAlign w:val="center"/>
            <w:shd w:fill="FFFFFF"/>
            <w:tcMar>
              <w:top w:w="85" w:type="dxa"/>
              <w:left w:w="85" w:type="dxa"/>
              <w:bottom w:w="85" w:type="dxa"/>
              <w:right w:w="85" w:type="dxa"/>
            </w:tcMar>
          </w:tcPr>
          <w:p>
            <w:pPr>
              <w:spacing w:after="20" w:before="20" w:line="245" w:lineRule="auto"/>
            </w:pPr>
            <w:r>
              <w:rPr>
                <w:b w:val="0"/>
                <w:sz w:val="20"/>
                <w:color w:val="242021"/>
              </w:rPr>
              <w:t>VM aislada, preferiblemente Linux compatible; referencia inicial de 8 vCPU, 16 GB RAM y 150 GB SSD para aplicación, temporales y registros.</w:t>
            </w:r>
          </w:p>
        </w:tc>
      </w:tr>
      <w:tr>
        <w:trPr>
          <w:cantSplit/>
        </w:trPr>
        <w:tc>
          <w:tcPr>
            <w:tcW w:type="dxa" w:w="2342"/>
            <w:vAlign w:val="center"/>
            <w:shd w:fill="F5F5F5"/>
            <w:tcMar>
              <w:top w:w="85" w:type="dxa"/>
              <w:left w:w="85" w:type="dxa"/>
              <w:bottom w:w="85" w:type="dxa"/>
              <w:right w:w="85" w:type="dxa"/>
            </w:tcMar>
          </w:tcPr>
          <w:p>
            <w:pPr>
              <w:spacing w:after="20" w:before="20" w:line="245" w:lineRule="auto"/>
            </w:pPr>
            <w:r>
              <w:rPr>
                <w:b w:val="0"/>
                <w:sz w:val="20"/>
                <w:color w:val="242021"/>
              </w:rPr>
              <w:t>Pruebas y UAT</w:t>
            </w:r>
          </w:p>
        </w:tc>
        <w:tc>
          <w:tcPr>
            <w:tcW w:type="dxa" w:w="7594"/>
            <w:vAlign w:val="center"/>
            <w:shd w:fill="F5F5F5"/>
            <w:tcMar>
              <w:top w:w="85" w:type="dxa"/>
              <w:left w:w="85" w:type="dxa"/>
              <w:bottom w:w="85" w:type="dxa"/>
              <w:right w:w="85" w:type="dxa"/>
            </w:tcMar>
          </w:tcPr>
          <w:p>
            <w:pPr>
              <w:spacing w:after="20" w:before="20" w:line="245" w:lineRule="auto"/>
            </w:pPr>
            <w:r>
              <w:rPr>
                <w:b w:val="0"/>
                <w:sz w:val="20"/>
                <w:color w:val="242021"/>
              </w:rPr>
              <w:t>Ambiente separado; referencia de 4 vCPU, 8 GB RAM y 80 GB de disco. Accesos disponibles al iniciar la semana 2.</w:t>
            </w:r>
          </w:p>
        </w:tc>
      </w:tr>
      <w:tr>
        <w:trPr>
          <w:cantSplit/>
        </w:trPr>
        <w:tc>
          <w:tcPr>
            <w:tcW w:type="dxa" w:w="2342"/>
            <w:vAlign w:val="center"/>
            <w:shd w:fill="FFFFFF"/>
            <w:tcMar>
              <w:top w:w="85" w:type="dxa"/>
              <w:left w:w="85" w:type="dxa"/>
              <w:bottom w:w="85" w:type="dxa"/>
              <w:right w:w="85" w:type="dxa"/>
            </w:tcMar>
          </w:tcPr>
          <w:p>
            <w:pPr>
              <w:spacing w:after="20" w:before="20" w:line="245" w:lineRule="auto"/>
            </w:pPr>
            <w:r>
              <w:rPr>
                <w:b w:val="0"/>
                <w:sz w:val="20"/>
                <w:color w:val="242021"/>
              </w:rPr>
              <w:t>Base de datos</w:t>
            </w:r>
          </w:p>
        </w:tc>
        <w:tc>
          <w:tcPr>
            <w:tcW w:type="dxa" w:w="7594"/>
            <w:vAlign w:val="center"/>
            <w:shd w:fill="FFFFFF"/>
            <w:tcMar>
              <w:top w:w="85" w:type="dxa"/>
              <w:left w:w="85" w:type="dxa"/>
              <w:bottom w:w="85" w:type="dxa"/>
              <w:right w:w="85" w:type="dxa"/>
            </w:tcMar>
          </w:tcPr>
          <w:p>
            <w:pPr>
              <w:spacing w:after="20" w:before="20" w:line="245" w:lineRule="auto"/>
            </w:pPr>
            <w:r>
              <w:rPr>
                <w:b w:val="0"/>
                <w:sz w:val="20"/>
                <w:color w:val="242021"/>
              </w:rPr>
              <w:t>Servicio administrado por el banco y esquema o acceso por servicios para configuración, trabajos, resultados y auditoría. Motor, versión y mecanismo se acuerdan en semana 1.</w:t>
            </w:r>
          </w:p>
        </w:tc>
      </w:tr>
      <w:tr>
        <w:trPr>
          <w:cantSplit/>
        </w:trPr>
        <w:tc>
          <w:tcPr>
            <w:tcW w:type="dxa" w:w="2342"/>
            <w:vAlign w:val="center"/>
            <w:shd w:fill="F5F5F5"/>
            <w:tcMar>
              <w:top w:w="85" w:type="dxa"/>
              <w:left w:w="85" w:type="dxa"/>
              <w:bottom w:w="85" w:type="dxa"/>
              <w:right w:w="85" w:type="dxa"/>
            </w:tcMar>
          </w:tcPr>
          <w:p>
            <w:pPr>
              <w:spacing w:after="20" w:before="20" w:line="245" w:lineRule="auto"/>
            </w:pPr>
            <w:r>
              <w:rPr>
                <w:b w:val="0"/>
                <w:sz w:val="20"/>
                <w:color w:val="242021"/>
              </w:rPr>
              <w:t>Documentos</w:t>
            </w:r>
          </w:p>
        </w:tc>
        <w:tc>
          <w:tcPr>
            <w:tcW w:type="dxa" w:w="7594"/>
            <w:vAlign w:val="center"/>
            <w:shd w:fill="F5F5F5"/>
            <w:tcMar>
              <w:top w:w="85" w:type="dxa"/>
              <w:left w:w="85" w:type="dxa"/>
              <w:bottom w:w="85" w:type="dxa"/>
              <w:right w:w="85" w:type="dxa"/>
            </w:tcMar>
          </w:tcPr>
          <w:p>
            <w:pPr>
              <w:spacing w:after="20" w:before="20" w:line="245" w:lineRule="auto"/>
            </w:pPr>
            <w:r>
              <w:rPr>
                <w:b w:val="0"/>
                <w:sz w:val="20"/>
                <w:color w:val="242021"/>
              </w:rPr>
              <w:t>Repositorio privado del banco con acceso autenticado. Capacidad adicional según volumen y retención; limpieza de temporales definida.</w:t>
            </w:r>
          </w:p>
        </w:tc>
      </w:tr>
      <w:tr>
        <w:trPr>
          <w:cantSplit/>
        </w:trPr>
        <w:tc>
          <w:tcPr>
            <w:tcW w:type="dxa" w:w="2342"/>
            <w:vAlign w:val="center"/>
            <w:shd w:fill="FFFFFF"/>
            <w:tcMar>
              <w:top w:w="85" w:type="dxa"/>
              <w:left w:w="85" w:type="dxa"/>
              <w:bottom w:w="85" w:type="dxa"/>
              <w:right w:w="85" w:type="dxa"/>
            </w:tcMar>
          </w:tcPr>
          <w:p>
            <w:pPr>
              <w:spacing w:after="20" w:before="20" w:line="245" w:lineRule="auto"/>
            </w:pPr>
            <w:r>
              <w:rPr>
                <w:b w:val="0"/>
                <w:sz w:val="20"/>
                <w:color w:val="242021"/>
              </w:rPr>
              <w:t>Red y acceso</w:t>
            </w:r>
          </w:p>
        </w:tc>
        <w:tc>
          <w:tcPr>
            <w:tcW w:type="dxa" w:w="7594"/>
            <w:vAlign w:val="center"/>
            <w:shd w:fill="FFFFFF"/>
            <w:tcMar>
              <w:top w:w="85" w:type="dxa"/>
              <w:left w:w="85" w:type="dxa"/>
              <w:bottom w:w="85" w:type="dxa"/>
              <w:right w:w="85" w:type="dxa"/>
            </w:tcMar>
          </w:tcPr>
          <w:p>
            <w:pPr>
              <w:spacing w:after="20" w:before="20" w:line="245" w:lineRule="auto"/>
            </w:pPr>
            <w:r>
              <w:rPr>
                <w:b w:val="0"/>
                <w:sz w:val="20"/>
                <w:color w:val="242021"/>
              </w:rPr>
              <w:t>HTTPS entre APEX y el motor, DNS y certificado del portal, salida HTTPS hacia Gemini y acceso técnico por VPN o mecanismo autorizado.</w:t>
            </w:r>
          </w:p>
        </w:tc>
      </w:tr>
      <w:tr>
        <w:trPr>
          <w:cantSplit/>
        </w:trPr>
        <w:tc>
          <w:tcPr>
            <w:tcW w:type="dxa" w:w="2342"/>
            <w:vAlign w:val="center"/>
            <w:shd w:fill="F5F5F5"/>
            <w:tcMar>
              <w:top w:w="85" w:type="dxa"/>
              <w:left w:w="85" w:type="dxa"/>
              <w:bottom w:w="85" w:type="dxa"/>
              <w:right w:w="85" w:type="dxa"/>
            </w:tcMar>
          </w:tcPr>
          <w:p>
            <w:pPr>
              <w:spacing w:after="20" w:before="20" w:line="245" w:lineRule="auto"/>
            </w:pPr>
            <w:r>
              <w:rPr>
                <w:b w:val="0"/>
                <w:sz w:val="20"/>
                <w:color w:val="242021"/>
              </w:rPr>
              <w:t>Operación</w:t>
            </w:r>
          </w:p>
        </w:tc>
        <w:tc>
          <w:tcPr>
            <w:tcW w:type="dxa" w:w="7594"/>
            <w:vAlign w:val="center"/>
            <w:shd w:fill="F5F5F5"/>
            <w:tcMar>
              <w:top w:w="85" w:type="dxa"/>
              <w:left w:w="85" w:type="dxa"/>
              <w:bottom w:w="85" w:type="dxa"/>
              <w:right w:w="85" w:type="dxa"/>
            </w:tcMar>
          </w:tcPr>
          <w:p>
            <w:pPr>
              <w:spacing w:after="20" w:before="20" w:line="245" w:lineRule="auto"/>
            </w:pPr>
            <w:r>
              <w:rPr>
                <w:b w:val="0"/>
                <w:sz w:val="20"/>
                <w:color w:val="242021"/>
              </w:rPr>
              <w:t>Cuentas de servicio con permisos mínimos, gestión de secretos, monitoreo, respaldos y restauración. Políticas de retención y recuperación documentadas.</w:t>
            </w:r>
          </w:p>
        </w:tc>
      </w:tr>
    </w:tbl>
    <w:p/>
    <w:p>
      <w:r>
        <w:t>Este dimensionamiento es preliminar y no constituye una garantía de capacidad. Se confirmará con expedientes diarios, páginas, tamaños de archivos, concurrencia, retención y tiempos de respuesta. No se prevé GPU en el esquema base de consumo de Gemini por API.</w:t>
      </w:r>
    </w:p>
    <w:p>
      <w:pPr>
        <w:pStyle w:val="Heading2"/>
      </w:pPr>
      <w:r>
        <w:t>Requerimientos de Gemini a cargo del banco</w:t>
      </w:r>
    </w:p>
    <w:p>
      <w:pPr>
        <w:pStyle w:val="ListBullet"/>
      </w:pPr>
      <w:r>
        <w:t>Proyecto y facturación habilitados para API, acceso al modelo Gemini 3.5 Flash-Lite (gemini-3.5-flash-lite) y credenciales de servicio; una suscripción de chat no sustituye el acceso por API.</w:t>
      </w:r>
    </w:p>
    <w:p>
      <w:pPr>
        <w:pStyle w:val="ListBullet"/>
      </w:pPr>
      <w:r>
        <w:t>Cuotas, presupuesto de consumo y conectividad disponibles para las pruebas. MACAO configurará límites de concurrencia y manejo de errores de cuota o disponibilidad.</w:t>
      </w:r>
    </w:p>
    <w:p>
      <w:pPr>
        <w:pStyle w:val="ListBullet"/>
      </w:pPr>
      <w:r>
        <w:t>Autorización sobre datos y documentos a procesar, región y condiciones de retención. Aunque el motor opere localmente, el contenido enviado a Gemini se procesa en el servicio externo autorizado.</w:t>
      </w:r>
    </w:p>
    <w:p>
      <w:r>
        <w:t>El banco será responsable de monitorear los avisos de deprecación o retiro del modelo por Google y mantener un modelo vigente, habilitando y coordinando su sustitución antes de la fecha de retiro. El reemplazo deberá validarse con el motor antes de producción. Las adaptaciones de software o pruebas adicionales que requieran intervención de MACAO se evaluarán y acordarán por escrito bajo soporte o control de cambios.</w:t>
      </w:r>
    </w:p>
    <w:p>
      <w:r>
        <w:t>El acta técnica identificará sistema operativo y versiones, base de datos, repositorio, autenticación, límites de archivos, red, responsables de respaldo y objetivos de recuperación. La persistencia del motor no exige duplicar la custodia completa del expediente de APEX.</w:t>
      </w:r>
    </w:p>
    <w:p>
      <w:r>
        <w:br w:type="page"/>
      </w:r>
    </w:p>
    <w:p>
      <w:pPr>
        <w:pStyle w:val="Heading1"/>
      </w:pPr>
      <w:r>
        <w:t>5 Matriz de responsabilidades</w:t>
      </w:r>
    </w:p>
    <w:p>
      <w:r>
        <w:t>La matriz distribuye responsabilidades entre MACAO, IT de Banco de Occidente y las áreas de AFP Occidente. Los nombres, suplentes y contactos se completarán en el acta de inicio. AFP designará un responsable de producto que consolide decisiones y aceptación.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2342"/>
        <w:gridCol w:w="2413"/>
        <w:gridCol w:w="2981"/>
      </w:tblGrid>
      <w:tr>
        <w:trPr>
          <w:cantSplit/>
          <w:tblHeader/>
        </w:trPr>
        <w:tc>
          <w:tcPr>
            <w:tcW w:type="dxa" w:w="2200"/>
            <w:vAlign w:val="center"/>
            <w:shd w:fill="242021"/>
            <w:tcMar>
              <w:top w:w="85" w:type="dxa"/>
              <w:left w:w="85" w:type="dxa"/>
              <w:bottom w:w="85" w:type="dxa"/>
              <w:right w:w="85" w:type="dxa"/>
            </w:tcMar>
            <w:tcBorders>
              <w:bottom w:val="single" w:sz="8" w:color="FF0006"/>
            </w:tcBorders>
          </w:tcPr>
          <w:p>
            <w:pPr>
              <w:spacing w:after="20" w:before="20" w:line="245" w:lineRule="auto"/>
            </w:pPr>
            <w:r>
              <w:rPr>
                <w:b/>
                <w:sz w:val="20"/>
                <w:color w:val="FFFFFF"/>
              </w:rPr>
              <w:t>Actividad</w:t>
            </w:r>
          </w:p>
        </w:tc>
        <w:tc>
          <w:tcPr>
            <w:tcW w:type="dxa" w:w="2342"/>
            <w:vAlign w:val="center"/>
            <w:shd w:fill="242021"/>
            <w:tcMar>
              <w:top w:w="85" w:type="dxa"/>
              <w:left w:w="85" w:type="dxa"/>
              <w:bottom w:w="85" w:type="dxa"/>
              <w:right w:w="85" w:type="dxa"/>
            </w:tcMar>
            <w:tcBorders>
              <w:bottom w:val="single" w:sz="8" w:color="FF0006"/>
            </w:tcBorders>
          </w:tcPr>
          <w:p>
            <w:pPr>
              <w:spacing w:after="20" w:before="20" w:line="245" w:lineRule="auto"/>
            </w:pPr>
            <w:r>
              <w:rPr>
                <w:b/>
                <w:sz w:val="20"/>
                <w:color w:val="FFFFFF"/>
              </w:rPr>
              <w:t>MACAO</w:t>
            </w:r>
          </w:p>
        </w:tc>
        <w:tc>
          <w:tcPr>
            <w:tcW w:type="dxa" w:w="2413"/>
            <w:vAlign w:val="center"/>
            <w:shd w:fill="242021"/>
            <w:tcMar>
              <w:top w:w="85" w:type="dxa"/>
              <w:left w:w="85" w:type="dxa"/>
              <w:bottom w:w="85" w:type="dxa"/>
              <w:right w:w="85" w:type="dxa"/>
            </w:tcMar>
            <w:tcBorders>
              <w:bottom w:val="single" w:sz="8" w:color="FF0006"/>
            </w:tcBorders>
          </w:tcPr>
          <w:p>
            <w:pPr>
              <w:spacing w:after="20" w:before="20" w:line="245" w:lineRule="auto"/>
            </w:pPr>
            <w:r>
              <w:rPr>
                <w:b/>
                <w:sz w:val="20"/>
                <w:color w:val="FFFFFF"/>
              </w:rPr>
              <w:t>IT del banco</w:t>
            </w:r>
          </w:p>
        </w:tc>
        <w:tc>
          <w:tcPr>
            <w:tcW w:type="dxa" w:w="2981"/>
            <w:vAlign w:val="center"/>
            <w:shd w:fill="242021"/>
            <w:tcMar>
              <w:top w:w="85" w:type="dxa"/>
              <w:left w:w="85" w:type="dxa"/>
              <w:bottom w:w="85" w:type="dxa"/>
              <w:right w:w="85" w:type="dxa"/>
            </w:tcMar>
            <w:tcBorders>
              <w:bottom w:val="single" w:sz="8" w:color="FF0006"/>
            </w:tcBorders>
          </w:tcPr>
          <w:p>
            <w:pPr>
              <w:spacing w:after="20" w:before="20" w:line="245" w:lineRule="auto"/>
            </w:pPr>
            <w:r>
              <w:rPr>
                <w:b/>
                <w:sz w:val="20"/>
                <w:color w:val="FFFFFF"/>
              </w:rPr>
              <w:t>AFP y responsables de negocio</w:t>
            </w:r>
          </w:p>
        </w:tc>
      </w:tr>
      <w:tr>
        <w:trPr>
          <w:cantSplit/>
        </w:trPr>
        <w:tc>
          <w:tcPr>
            <w:tcW w:type="dxa" w:w="2200"/>
            <w:vAlign w:val="center"/>
            <w:shd w:fill="FFFFFF"/>
            <w:tcMar>
              <w:top w:w="85" w:type="dxa"/>
              <w:left w:w="85" w:type="dxa"/>
              <w:bottom w:w="85" w:type="dxa"/>
              <w:right w:w="85" w:type="dxa"/>
            </w:tcMar>
          </w:tcPr>
          <w:p>
            <w:pPr>
              <w:spacing w:after="20" w:before="20" w:line="245" w:lineRule="auto"/>
            </w:pPr>
            <w:r>
              <w:rPr>
                <w:b w:val="0"/>
                <w:sz w:val="20"/>
                <w:color w:val="242021"/>
              </w:rPr>
              <w:t>Formularios y bandeja APEX</w:t>
            </w:r>
          </w:p>
        </w:tc>
        <w:tc>
          <w:tcPr>
            <w:tcW w:type="dxa" w:w="2342"/>
            <w:vAlign w:val="center"/>
            <w:shd w:fill="FFFFFF"/>
            <w:tcMar>
              <w:top w:w="85" w:type="dxa"/>
              <w:left w:w="85" w:type="dxa"/>
              <w:bottom w:w="85" w:type="dxa"/>
              <w:right w:w="85" w:type="dxa"/>
            </w:tcMar>
          </w:tcPr>
          <w:p>
            <w:pPr>
              <w:spacing w:after="20" w:before="20" w:line="245" w:lineRule="auto"/>
            </w:pPr>
            <w:r>
              <w:rPr>
                <w:b w:val="0"/>
                <w:sz w:val="20"/>
                <w:color w:val="242021"/>
              </w:rPr>
              <w:t>Apoya contrato de datos</w:t>
            </w:r>
          </w:p>
        </w:tc>
        <w:tc>
          <w:tcPr>
            <w:tcW w:type="dxa" w:w="2413"/>
            <w:vAlign w:val="center"/>
            <w:shd w:fill="FFFFFF"/>
            <w:tcMar>
              <w:top w:w="85" w:type="dxa"/>
              <w:left w:w="85" w:type="dxa"/>
              <w:bottom w:w="85" w:type="dxa"/>
              <w:right w:w="85" w:type="dxa"/>
            </w:tcMar>
          </w:tcPr>
          <w:p>
            <w:pPr>
              <w:spacing w:after="20" w:before="20" w:line="245" w:lineRule="auto"/>
            </w:pPr>
            <w:r>
              <w:rPr>
                <w:b w:val="0"/>
                <w:sz w:val="20"/>
                <w:color w:val="242021"/>
              </w:rPr>
              <w:t>Desarrolla y mantiene</w:t>
            </w:r>
          </w:p>
        </w:tc>
        <w:tc>
          <w:tcPr>
            <w:tcW w:type="dxa" w:w="2981"/>
            <w:vAlign w:val="center"/>
            <w:shd w:fill="FFFFFF"/>
            <w:tcMar>
              <w:top w:w="85" w:type="dxa"/>
              <w:left w:w="85" w:type="dxa"/>
              <w:bottom w:w="85" w:type="dxa"/>
              <w:right w:w="85" w:type="dxa"/>
            </w:tcMar>
          </w:tcPr>
          <w:p>
            <w:pPr>
              <w:spacing w:after="20" w:before="20" w:line="245" w:lineRule="auto"/>
            </w:pPr>
            <w:r>
              <w:rPr>
                <w:b w:val="0"/>
                <w:sz w:val="20"/>
                <w:color w:val="242021"/>
              </w:rPr>
              <w:t>Define y valida operación</w:t>
            </w:r>
          </w:p>
        </w:tc>
      </w:tr>
      <w:tr>
        <w:trPr>
          <w:cantSplit/>
        </w:trPr>
        <w:tc>
          <w:tcPr>
            <w:tcW w:type="dxa" w:w="2200"/>
            <w:vAlign w:val="center"/>
            <w:shd w:fill="F5F5F5"/>
            <w:tcMar>
              <w:top w:w="85" w:type="dxa"/>
              <w:left w:w="85" w:type="dxa"/>
              <w:bottom w:w="85" w:type="dxa"/>
              <w:right w:w="85" w:type="dxa"/>
            </w:tcMar>
          </w:tcPr>
          <w:p>
            <w:pPr>
              <w:spacing w:after="20" w:before="20" w:line="245" w:lineRule="auto"/>
            </w:pPr>
            <w:r>
              <w:rPr>
                <w:b w:val="0"/>
                <w:sz w:val="20"/>
                <w:color w:val="242021"/>
              </w:rPr>
              <w:t>Integración al sistema central</w:t>
            </w:r>
          </w:p>
        </w:tc>
        <w:tc>
          <w:tcPr>
            <w:tcW w:type="dxa" w:w="2342"/>
            <w:vAlign w:val="center"/>
            <w:shd w:fill="F5F5F5"/>
            <w:tcMar>
              <w:top w:w="85" w:type="dxa"/>
              <w:left w:w="85" w:type="dxa"/>
              <w:bottom w:w="85" w:type="dxa"/>
              <w:right w:w="85" w:type="dxa"/>
            </w:tcMar>
          </w:tcPr>
          <w:p>
            <w:pPr>
              <w:spacing w:after="20" w:before="20" w:line="245" w:lineRule="auto"/>
            </w:pPr>
            <w:r>
              <w:rPr>
                <w:b w:val="0"/>
                <w:sz w:val="20"/>
                <w:color w:val="242021"/>
              </w:rPr>
              <w:t>Entrega resultados a APEX</w:t>
            </w:r>
          </w:p>
        </w:tc>
        <w:tc>
          <w:tcPr>
            <w:tcW w:type="dxa" w:w="2413"/>
            <w:vAlign w:val="center"/>
            <w:shd w:fill="F5F5F5"/>
            <w:tcMar>
              <w:top w:w="85" w:type="dxa"/>
              <w:left w:w="85" w:type="dxa"/>
              <w:bottom w:w="85" w:type="dxa"/>
              <w:right w:w="85" w:type="dxa"/>
            </w:tcMar>
          </w:tcPr>
          <w:p>
            <w:pPr>
              <w:spacing w:after="20" w:before="20" w:line="245" w:lineRule="auto"/>
            </w:pPr>
            <w:r>
              <w:rPr>
                <w:b w:val="0"/>
                <w:sz w:val="20"/>
                <w:color w:val="242021"/>
              </w:rPr>
              <w:t>Desarrolla y opera</w:t>
            </w:r>
          </w:p>
        </w:tc>
        <w:tc>
          <w:tcPr>
            <w:tcW w:type="dxa" w:w="2981"/>
            <w:vAlign w:val="center"/>
            <w:shd w:fill="F5F5F5"/>
            <w:tcMar>
              <w:top w:w="85" w:type="dxa"/>
              <w:left w:w="85" w:type="dxa"/>
              <w:bottom w:w="85" w:type="dxa"/>
              <w:right w:w="85" w:type="dxa"/>
            </w:tcMar>
          </w:tcPr>
          <w:p>
            <w:pPr>
              <w:spacing w:after="20" w:before="20" w:line="245" w:lineRule="auto"/>
            </w:pPr>
            <w:r>
              <w:rPr>
                <w:b w:val="0"/>
                <w:sz w:val="20"/>
                <w:color w:val="242021"/>
              </w:rPr>
              <w:t>Valida registro final</w:t>
            </w:r>
          </w:p>
        </w:tc>
      </w:tr>
      <w:tr>
        <w:trPr>
          <w:cantSplit/>
        </w:trPr>
        <w:tc>
          <w:tcPr>
            <w:tcW w:type="dxa" w:w="2200"/>
            <w:vAlign w:val="center"/>
            <w:shd w:fill="FFFFFF"/>
            <w:tcMar>
              <w:top w:w="85" w:type="dxa"/>
              <w:left w:w="85" w:type="dxa"/>
              <w:bottom w:w="85" w:type="dxa"/>
              <w:right w:w="85" w:type="dxa"/>
            </w:tcMar>
          </w:tcPr>
          <w:p>
            <w:pPr>
              <w:spacing w:after="20" w:before="20" w:line="245" w:lineRule="auto"/>
            </w:pPr>
            <w:r>
              <w:rPr>
                <w:b w:val="0"/>
                <w:sz w:val="20"/>
                <w:color w:val="242021"/>
              </w:rPr>
              <w:t>Motor de análisis</w:t>
            </w:r>
          </w:p>
        </w:tc>
        <w:tc>
          <w:tcPr>
            <w:tcW w:type="dxa" w:w="2342"/>
            <w:vAlign w:val="center"/>
            <w:shd w:fill="FFFFFF"/>
            <w:tcMar>
              <w:top w:w="85" w:type="dxa"/>
              <w:left w:w="85" w:type="dxa"/>
              <w:bottom w:w="85" w:type="dxa"/>
              <w:right w:w="85" w:type="dxa"/>
            </w:tcMar>
          </w:tcPr>
          <w:p>
            <w:pPr>
              <w:spacing w:after="20" w:before="20" w:line="245" w:lineRule="auto"/>
            </w:pPr>
            <w:r>
              <w:rPr>
                <w:b w:val="0"/>
                <w:sz w:val="20"/>
                <w:color w:val="242021"/>
              </w:rPr>
              <w:t>Desarrolla y prueba</w:t>
            </w:r>
          </w:p>
        </w:tc>
        <w:tc>
          <w:tcPr>
            <w:tcW w:type="dxa" w:w="2413"/>
            <w:vAlign w:val="center"/>
            <w:shd w:fill="FFFFFF"/>
            <w:tcMar>
              <w:top w:w="85" w:type="dxa"/>
              <w:left w:w="85" w:type="dxa"/>
              <w:bottom w:w="85" w:type="dxa"/>
              <w:right w:w="85" w:type="dxa"/>
            </w:tcMar>
          </w:tcPr>
          <w:p>
            <w:pPr>
              <w:spacing w:after="20" w:before="20" w:line="245" w:lineRule="auto"/>
            </w:pPr>
            <w:r>
              <w:rPr>
                <w:b w:val="0"/>
                <w:sz w:val="20"/>
                <w:color w:val="242021"/>
              </w:rPr>
              <w:t>Facilita ambiente</w:t>
            </w:r>
          </w:p>
        </w:tc>
        <w:tc>
          <w:tcPr>
            <w:tcW w:type="dxa" w:w="2981"/>
            <w:vAlign w:val="center"/>
            <w:shd w:fill="FFFFFF"/>
            <w:tcMar>
              <w:top w:w="85" w:type="dxa"/>
              <w:left w:w="85" w:type="dxa"/>
              <w:bottom w:w="85" w:type="dxa"/>
              <w:right w:w="85" w:type="dxa"/>
            </w:tcMar>
          </w:tcPr>
          <w:p>
            <w:pPr>
              <w:spacing w:after="20" w:before="20" w:line="245" w:lineRule="auto"/>
            </w:pPr>
            <w:r>
              <w:rPr>
                <w:b w:val="0"/>
                <w:sz w:val="20"/>
                <w:color w:val="242021"/>
              </w:rPr>
              <w:t>Valida resultados esperados</w:t>
            </w:r>
          </w:p>
        </w:tc>
      </w:tr>
      <w:tr>
        <w:trPr>
          <w:cantSplit/>
        </w:trPr>
        <w:tc>
          <w:tcPr>
            <w:tcW w:type="dxa" w:w="2200"/>
            <w:vAlign w:val="center"/>
            <w:shd w:fill="F5F5F5"/>
            <w:tcMar>
              <w:top w:w="85" w:type="dxa"/>
              <w:left w:w="85" w:type="dxa"/>
              <w:bottom w:w="85" w:type="dxa"/>
              <w:right w:w="85" w:type="dxa"/>
            </w:tcMar>
          </w:tcPr>
          <w:p>
            <w:pPr>
              <w:spacing w:after="20" w:before="20" w:line="245" w:lineRule="auto"/>
            </w:pPr>
            <w:r>
              <w:rPr>
                <w:b w:val="0"/>
                <w:sz w:val="20"/>
                <w:color w:val="242021"/>
              </w:rPr>
              <w:t>Portal administrativo</w:t>
            </w:r>
          </w:p>
        </w:tc>
        <w:tc>
          <w:tcPr>
            <w:tcW w:type="dxa" w:w="2342"/>
            <w:vAlign w:val="center"/>
            <w:shd w:fill="F5F5F5"/>
            <w:tcMar>
              <w:top w:w="85" w:type="dxa"/>
              <w:left w:w="85" w:type="dxa"/>
              <w:bottom w:w="85" w:type="dxa"/>
              <w:right w:w="85" w:type="dxa"/>
            </w:tcMar>
          </w:tcPr>
          <w:p>
            <w:pPr>
              <w:spacing w:after="20" w:before="20" w:line="245" w:lineRule="auto"/>
            </w:pPr>
            <w:r>
              <w:rPr>
                <w:b w:val="0"/>
                <w:sz w:val="20"/>
                <w:color w:val="242021"/>
              </w:rPr>
              <w:t>Diseña y desarrolla pantallas y servicios</w:t>
            </w:r>
          </w:p>
        </w:tc>
        <w:tc>
          <w:tcPr>
            <w:tcW w:type="dxa" w:w="2413"/>
            <w:vAlign w:val="center"/>
            <w:shd w:fill="F5F5F5"/>
            <w:tcMar>
              <w:top w:w="85" w:type="dxa"/>
              <w:left w:w="85" w:type="dxa"/>
              <w:bottom w:w="85" w:type="dxa"/>
              <w:right w:w="85" w:type="dxa"/>
            </w:tcMar>
          </w:tcPr>
          <w:p>
            <w:pPr>
              <w:spacing w:after="20" w:before="20" w:line="245" w:lineRule="auto"/>
            </w:pPr>
            <w:r>
              <w:rPr>
                <w:b w:val="0"/>
                <w:sz w:val="20"/>
                <w:color w:val="242021"/>
              </w:rPr>
              <w:t>Facilita accesos y red</w:t>
            </w:r>
          </w:p>
        </w:tc>
        <w:tc>
          <w:tcPr>
            <w:tcW w:type="dxa" w:w="2981"/>
            <w:vAlign w:val="center"/>
            <w:shd w:fill="F5F5F5"/>
            <w:tcMar>
              <w:top w:w="85" w:type="dxa"/>
              <w:left w:w="85" w:type="dxa"/>
              <w:bottom w:w="85" w:type="dxa"/>
              <w:right w:w="85" w:type="dxa"/>
            </w:tcMar>
          </w:tcPr>
          <w:p>
            <w:pPr>
              <w:spacing w:after="20" w:before="20" w:line="245" w:lineRule="auto"/>
            </w:pPr>
            <w:r>
              <w:rPr>
                <w:b w:val="0"/>
                <w:sz w:val="20"/>
                <w:color w:val="242021"/>
              </w:rPr>
              <w:t>Designa administradores y valida uso</w:t>
            </w:r>
          </w:p>
        </w:tc>
      </w:tr>
      <w:tr>
        <w:trPr>
          <w:cantSplit/>
        </w:trPr>
        <w:tc>
          <w:tcPr>
            <w:tcW w:type="dxa" w:w="2200"/>
            <w:vAlign w:val="center"/>
            <w:shd w:fill="FFFFFF"/>
            <w:tcMar>
              <w:top w:w="85" w:type="dxa"/>
              <w:left w:w="85" w:type="dxa"/>
              <w:bottom w:w="85" w:type="dxa"/>
              <w:right w:w="85" w:type="dxa"/>
            </w:tcMar>
          </w:tcPr>
          <w:p>
            <w:pPr>
              <w:spacing w:after="20" w:before="20" w:line="245" w:lineRule="auto"/>
            </w:pPr>
            <w:r>
              <w:rPr>
                <w:b w:val="0"/>
                <w:sz w:val="20"/>
                <w:color w:val="242021"/>
              </w:rPr>
              <w:t>Reglas y matriz documental</w:t>
            </w:r>
          </w:p>
        </w:tc>
        <w:tc>
          <w:tcPr>
            <w:tcW w:type="dxa" w:w="2342"/>
            <w:vAlign w:val="center"/>
            <w:shd w:fill="FFFFFF"/>
            <w:tcMar>
              <w:top w:w="85" w:type="dxa"/>
              <w:left w:w="85" w:type="dxa"/>
              <w:bottom w:w="85" w:type="dxa"/>
              <w:right w:w="85" w:type="dxa"/>
            </w:tcMar>
          </w:tcPr>
          <w:p>
            <w:pPr>
              <w:spacing w:after="20" w:before="20" w:line="245" w:lineRule="auto"/>
            </w:pPr>
            <w:r>
              <w:rPr>
                <w:b w:val="0"/>
                <w:sz w:val="20"/>
                <w:color w:val="242021"/>
              </w:rPr>
              <w:t>Implementa capacidad y configuración inicial</w:t>
            </w:r>
          </w:p>
        </w:tc>
        <w:tc>
          <w:tcPr>
            <w:tcW w:type="dxa" w:w="2413"/>
            <w:vAlign w:val="center"/>
            <w:shd w:fill="FFFFFF"/>
            <w:tcMar>
              <w:top w:w="85" w:type="dxa"/>
              <w:left w:w="85" w:type="dxa"/>
              <w:bottom w:w="85" w:type="dxa"/>
              <w:right w:w="85" w:type="dxa"/>
            </w:tcMar>
          </w:tcPr>
          <w:p>
            <w:pPr>
              <w:spacing w:after="20" w:before="20" w:line="245" w:lineRule="auto"/>
            </w:pPr>
            <w:r>
              <w:rPr>
                <w:b w:val="0"/>
                <w:sz w:val="20"/>
                <w:color w:val="242021"/>
              </w:rPr>
              <w:t>Apoya integración</w:t>
            </w:r>
          </w:p>
        </w:tc>
        <w:tc>
          <w:tcPr>
            <w:tcW w:type="dxa" w:w="2981"/>
            <w:vAlign w:val="center"/>
            <w:shd w:fill="FFFFFF"/>
            <w:tcMar>
              <w:top w:w="85" w:type="dxa"/>
              <w:left w:w="85" w:type="dxa"/>
              <w:bottom w:w="85" w:type="dxa"/>
              <w:right w:w="85" w:type="dxa"/>
            </w:tcMar>
          </w:tcPr>
          <w:p>
            <w:pPr>
              <w:spacing w:after="20" w:before="20" w:line="245" w:lineRule="auto"/>
            </w:pPr>
            <w:r>
              <w:rPr>
                <w:b w:val="0"/>
                <w:sz w:val="20"/>
                <w:color w:val="242021"/>
              </w:rPr>
              <w:t>Operaciones y Cumplimiento definen y aprueban</w:t>
            </w:r>
          </w:p>
        </w:tc>
      </w:tr>
      <w:tr>
        <w:trPr>
          <w:cantSplit/>
        </w:trPr>
        <w:tc>
          <w:tcPr>
            <w:tcW w:type="dxa" w:w="2200"/>
            <w:vAlign w:val="center"/>
            <w:shd w:fill="F5F5F5"/>
            <w:tcMar>
              <w:top w:w="85" w:type="dxa"/>
              <w:left w:w="85" w:type="dxa"/>
              <w:bottom w:w="85" w:type="dxa"/>
              <w:right w:w="85" w:type="dxa"/>
            </w:tcMar>
          </w:tcPr>
          <w:p>
            <w:pPr>
              <w:spacing w:after="20" w:before="20" w:line="245" w:lineRule="auto"/>
            </w:pPr>
            <w:r>
              <w:rPr>
                <w:b w:val="0"/>
                <w:sz w:val="20"/>
                <w:color w:val="242021"/>
              </w:rPr>
              <w:t>Cambios de reglas en operación</w:t>
            </w:r>
          </w:p>
        </w:tc>
        <w:tc>
          <w:tcPr>
            <w:tcW w:type="dxa" w:w="2342"/>
            <w:vAlign w:val="center"/>
            <w:shd w:fill="F5F5F5"/>
            <w:tcMar>
              <w:top w:w="85" w:type="dxa"/>
              <w:left w:w="85" w:type="dxa"/>
              <w:bottom w:w="85" w:type="dxa"/>
              <w:right w:w="85" w:type="dxa"/>
            </w:tcMar>
          </w:tcPr>
          <w:p>
            <w:pPr>
              <w:spacing w:after="20" w:before="20" w:line="245" w:lineRule="auto"/>
            </w:pPr>
            <w:r>
              <w:rPr>
                <w:b w:val="0"/>
                <w:sz w:val="20"/>
                <w:color w:val="242021"/>
              </w:rPr>
              <w:t>Entrega herramientas y capacitación</w:t>
            </w:r>
          </w:p>
        </w:tc>
        <w:tc>
          <w:tcPr>
            <w:tcW w:type="dxa" w:w="2413"/>
            <w:vAlign w:val="center"/>
            <w:shd w:fill="F5F5F5"/>
            <w:tcMar>
              <w:top w:w="85" w:type="dxa"/>
              <w:left w:w="85" w:type="dxa"/>
              <w:bottom w:w="85" w:type="dxa"/>
              <w:right w:w="85" w:type="dxa"/>
            </w:tcMar>
          </w:tcPr>
          <w:p>
            <w:pPr>
              <w:spacing w:after="20" w:before="20" w:line="245" w:lineRule="auto"/>
            </w:pPr>
            <w:r>
              <w:rPr>
                <w:b w:val="0"/>
                <w:sz w:val="20"/>
                <w:color w:val="242021"/>
              </w:rPr>
              <w:t>Apoya soporte técnico</w:t>
            </w:r>
          </w:p>
        </w:tc>
        <w:tc>
          <w:tcPr>
            <w:tcW w:type="dxa" w:w="2981"/>
            <w:vAlign w:val="center"/>
            <w:shd w:fill="F5F5F5"/>
            <w:tcMar>
              <w:top w:w="85" w:type="dxa"/>
              <w:left w:w="85" w:type="dxa"/>
              <w:bottom w:w="85" w:type="dxa"/>
              <w:right w:w="85" w:type="dxa"/>
            </w:tcMar>
          </w:tcPr>
          <w:p>
            <w:pPr>
              <w:spacing w:after="20" w:before="20" w:line="245" w:lineRule="auto"/>
            </w:pPr>
            <w:r>
              <w:rPr>
                <w:b w:val="0"/>
                <w:sz w:val="20"/>
                <w:color w:val="242021"/>
              </w:rPr>
              <w:t>Administra y autoriza publicación</w:t>
            </w:r>
          </w:p>
        </w:tc>
      </w:tr>
      <w:tr>
        <w:trPr>
          <w:cantSplit/>
        </w:trPr>
        <w:tc>
          <w:tcPr>
            <w:tcW w:type="dxa" w:w="2200"/>
            <w:vAlign w:val="center"/>
            <w:shd w:fill="FFFFFF"/>
            <w:tcMar>
              <w:top w:w="85" w:type="dxa"/>
              <w:left w:w="85" w:type="dxa"/>
              <w:bottom w:w="85" w:type="dxa"/>
              <w:right w:w="85" w:type="dxa"/>
            </w:tcMar>
          </w:tcPr>
          <w:p>
            <w:pPr>
              <w:spacing w:after="20" w:before="20" w:line="245" w:lineRule="auto"/>
            </w:pPr>
            <w:r>
              <w:rPr>
                <w:b w:val="0"/>
                <w:sz w:val="20"/>
                <w:color w:val="242021"/>
              </w:rPr>
              <w:t>API e intercambio documental</w:t>
            </w:r>
          </w:p>
        </w:tc>
        <w:tc>
          <w:tcPr>
            <w:tcW w:type="dxa" w:w="2342"/>
            <w:vAlign w:val="center"/>
            <w:shd w:fill="FFFFFF"/>
            <w:tcMar>
              <w:top w:w="85" w:type="dxa"/>
              <w:left w:w="85" w:type="dxa"/>
              <w:bottom w:w="85" w:type="dxa"/>
              <w:right w:w="85" w:type="dxa"/>
            </w:tcMar>
          </w:tcPr>
          <w:p>
            <w:pPr>
              <w:spacing w:after="20" w:before="20" w:line="245" w:lineRule="auto"/>
            </w:pPr>
            <w:r>
              <w:rPr>
                <w:b w:val="0"/>
                <w:sz w:val="20"/>
                <w:color w:val="242021"/>
              </w:rPr>
              <w:t>Implementa extremo del motor</w:t>
            </w:r>
          </w:p>
        </w:tc>
        <w:tc>
          <w:tcPr>
            <w:tcW w:type="dxa" w:w="2413"/>
            <w:vAlign w:val="center"/>
            <w:shd w:fill="FFFFFF"/>
            <w:tcMar>
              <w:top w:w="85" w:type="dxa"/>
              <w:left w:w="85" w:type="dxa"/>
              <w:bottom w:w="85" w:type="dxa"/>
              <w:right w:w="85" w:type="dxa"/>
            </w:tcMar>
          </w:tcPr>
          <w:p>
            <w:pPr>
              <w:spacing w:after="20" w:before="20" w:line="245" w:lineRule="auto"/>
            </w:pPr>
            <w:r>
              <w:rPr>
                <w:b w:val="0"/>
                <w:sz w:val="20"/>
                <w:color w:val="242021"/>
              </w:rPr>
              <w:t>Implementa extremo APEX y acceso a documentos</w:t>
            </w:r>
          </w:p>
        </w:tc>
        <w:tc>
          <w:tcPr>
            <w:tcW w:type="dxa" w:w="2981"/>
            <w:vAlign w:val="center"/>
            <w:shd w:fill="FFFFFF"/>
            <w:tcMar>
              <w:top w:w="85" w:type="dxa"/>
              <w:left w:w="85" w:type="dxa"/>
              <w:bottom w:w="85" w:type="dxa"/>
              <w:right w:w="85" w:type="dxa"/>
            </w:tcMar>
          </w:tcPr>
          <w:p>
            <w:pPr>
              <w:spacing w:after="20" w:before="20" w:line="245" w:lineRule="auto"/>
            </w:pPr>
            <w:r>
              <w:rPr>
                <w:b w:val="0"/>
                <w:sz w:val="20"/>
                <w:color w:val="242021"/>
              </w:rPr>
              <w:t>Valida recorrido y datos</w:t>
            </w:r>
          </w:p>
        </w:tc>
      </w:tr>
      <w:tr>
        <w:trPr>
          <w:cantSplit/>
        </w:trPr>
        <w:tc>
          <w:tcPr>
            <w:tcW w:type="dxa" w:w="2200"/>
            <w:vAlign w:val="center"/>
            <w:shd w:fill="F5F5F5"/>
            <w:tcMar>
              <w:top w:w="85" w:type="dxa"/>
              <w:left w:w="85" w:type="dxa"/>
              <w:bottom w:w="85" w:type="dxa"/>
              <w:right w:w="85" w:type="dxa"/>
            </w:tcMar>
          </w:tcPr>
          <w:p>
            <w:pPr>
              <w:spacing w:after="20" w:before="20" w:line="245" w:lineRule="auto"/>
            </w:pPr>
            <w:r>
              <w:rPr>
                <w:b w:val="0"/>
                <w:sz w:val="20"/>
                <w:color w:val="242021"/>
              </w:rPr>
              <w:t>Servidores y base de datos</w:t>
            </w:r>
          </w:p>
        </w:tc>
        <w:tc>
          <w:tcPr>
            <w:tcW w:type="dxa" w:w="2342"/>
            <w:vAlign w:val="center"/>
            <w:shd w:fill="F5F5F5"/>
            <w:tcMar>
              <w:top w:w="85" w:type="dxa"/>
              <w:left w:w="85" w:type="dxa"/>
              <w:bottom w:w="85" w:type="dxa"/>
              <w:right w:w="85" w:type="dxa"/>
            </w:tcMar>
          </w:tcPr>
          <w:p>
            <w:pPr>
              <w:spacing w:after="20" w:before="20" w:line="245" w:lineRule="auto"/>
            </w:pPr>
            <w:r>
              <w:rPr>
                <w:b w:val="0"/>
                <w:sz w:val="20"/>
                <w:color w:val="242021"/>
              </w:rPr>
              <w:t>Define necesidades y despliega aplicación</w:t>
            </w:r>
          </w:p>
        </w:tc>
        <w:tc>
          <w:tcPr>
            <w:tcW w:type="dxa" w:w="2413"/>
            <w:vAlign w:val="center"/>
            <w:shd w:fill="F5F5F5"/>
            <w:tcMar>
              <w:top w:w="85" w:type="dxa"/>
              <w:left w:w="85" w:type="dxa"/>
              <w:bottom w:w="85" w:type="dxa"/>
              <w:right w:w="85" w:type="dxa"/>
            </w:tcMar>
          </w:tcPr>
          <w:p>
            <w:pPr>
              <w:spacing w:after="20" w:before="20" w:line="245" w:lineRule="auto"/>
            </w:pPr>
            <w:r>
              <w:rPr>
                <w:b w:val="0"/>
                <w:sz w:val="20"/>
                <w:color w:val="242021"/>
              </w:rPr>
              <w:t>Provisiona, administra y respalda</w:t>
            </w:r>
          </w:p>
        </w:tc>
        <w:tc>
          <w:tcPr>
            <w:tcW w:type="dxa" w:w="2981"/>
            <w:vAlign w:val="center"/>
            <w:shd w:fill="F5F5F5"/>
            <w:tcMar>
              <w:top w:w="85" w:type="dxa"/>
              <w:left w:w="85" w:type="dxa"/>
              <w:bottom w:w="85" w:type="dxa"/>
              <w:right w:w="85" w:type="dxa"/>
            </w:tcMar>
          </w:tcPr>
          <w:p>
            <w:pPr>
              <w:spacing w:after="20" w:before="20" w:line="245" w:lineRule="auto"/>
            </w:pPr>
            <w:r>
              <w:rPr>
                <w:b w:val="0"/>
                <w:sz w:val="20"/>
                <w:color w:val="242021"/>
              </w:rPr>
              <w:t>Coordina disponibilidad</w:t>
            </w:r>
          </w:p>
        </w:tc>
      </w:tr>
      <w:tr>
        <w:trPr>
          <w:cantSplit/>
        </w:trPr>
        <w:tc>
          <w:tcPr>
            <w:tcW w:type="dxa" w:w="2200"/>
            <w:vAlign w:val="center"/>
            <w:shd w:fill="FFFFFF"/>
            <w:tcMar>
              <w:top w:w="85" w:type="dxa"/>
              <w:left w:w="85" w:type="dxa"/>
              <w:bottom w:w="85" w:type="dxa"/>
              <w:right w:w="85" w:type="dxa"/>
            </w:tcMar>
          </w:tcPr>
          <w:p>
            <w:pPr>
              <w:spacing w:after="20" w:before="20" w:line="245" w:lineRule="auto"/>
            </w:pPr>
            <w:r>
              <w:rPr>
                <w:b w:val="0"/>
                <w:sz w:val="20"/>
                <w:color w:val="242021"/>
              </w:rPr>
              <w:t>Gemini y tratamiento de datos</w:t>
            </w:r>
          </w:p>
        </w:tc>
        <w:tc>
          <w:tcPr>
            <w:tcW w:type="dxa" w:w="2342"/>
            <w:vAlign w:val="center"/>
            <w:shd w:fill="FFFFFF"/>
            <w:tcMar>
              <w:top w:w="85" w:type="dxa"/>
              <w:left w:w="85" w:type="dxa"/>
              <w:bottom w:w="85" w:type="dxa"/>
              <w:right w:w="85" w:type="dxa"/>
            </w:tcMar>
          </w:tcPr>
          <w:p>
            <w:pPr>
              <w:spacing w:after="20" w:before="20" w:line="245" w:lineRule="auto"/>
            </w:pPr>
            <w:r>
              <w:rPr>
                <w:b w:val="0"/>
                <w:sz w:val="20"/>
                <w:color w:val="242021"/>
              </w:rPr>
              <w:t>Integra y controla ejecución</w:t>
            </w:r>
          </w:p>
        </w:tc>
        <w:tc>
          <w:tcPr>
            <w:tcW w:type="dxa" w:w="2413"/>
            <w:vAlign w:val="center"/>
            <w:shd w:fill="FFFFFF"/>
            <w:tcMar>
              <w:top w:w="85" w:type="dxa"/>
              <w:left w:w="85" w:type="dxa"/>
              <w:bottom w:w="85" w:type="dxa"/>
              <w:right w:w="85" w:type="dxa"/>
            </w:tcMar>
          </w:tcPr>
          <w:p>
            <w:pPr>
              <w:spacing w:after="20" w:before="20" w:line="245" w:lineRule="auto"/>
            </w:pPr>
            <w:r>
              <w:rPr>
                <w:b w:val="0"/>
                <w:sz w:val="20"/>
                <w:color w:val="242021"/>
              </w:rPr>
              <w:t>Habilita proyecto, cuotas y credenciales; mantiene vigente el modelo</w:t>
            </w:r>
          </w:p>
        </w:tc>
        <w:tc>
          <w:tcPr>
            <w:tcW w:type="dxa" w:w="2981"/>
            <w:vAlign w:val="center"/>
            <w:shd w:fill="FFFFFF"/>
            <w:tcMar>
              <w:top w:w="85" w:type="dxa"/>
              <w:left w:w="85" w:type="dxa"/>
              <w:bottom w:w="85" w:type="dxa"/>
              <w:right w:w="85" w:type="dxa"/>
            </w:tcMar>
          </w:tcPr>
          <w:p>
            <w:pPr>
              <w:spacing w:after="20" w:before="20" w:line="245" w:lineRule="auto"/>
            </w:pPr>
            <w:r>
              <w:rPr>
                <w:b w:val="0"/>
                <w:sz w:val="20"/>
                <w:color w:val="242021"/>
              </w:rPr>
              <w:t>Autoriza con Seguridad los usos y datos</w:t>
            </w:r>
          </w:p>
        </w:tc>
      </w:tr>
      <w:tr>
        <w:trPr>
          <w:cantSplit/>
        </w:trPr>
        <w:tc>
          <w:tcPr>
            <w:tcW w:type="dxa" w:w="2200"/>
            <w:vAlign w:val="center"/>
            <w:shd w:fill="F5F5F5"/>
            <w:tcMar>
              <w:top w:w="85" w:type="dxa"/>
              <w:left w:w="85" w:type="dxa"/>
              <w:bottom w:w="85" w:type="dxa"/>
              <w:right w:w="85" w:type="dxa"/>
            </w:tcMar>
          </w:tcPr>
          <w:p>
            <w:pPr>
              <w:spacing w:after="20" w:before="20" w:line="245" w:lineRule="auto"/>
            </w:pPr>
            <w:r>
              <w:rPr>
                <w:b w:val="0"/>
                <w:sz w:val="20"/>
                <w:color w:val="242021"/>
              </w:rPr>
              <w:t>Auditoría</w:t>
            </w:r>
          </w:p>
        </w:tc>
        <w:tc>
          <w:tcPr>
            <w:tcW w:type="dxa" w:w="2342"/>
            <w:vAlign w:val="center"/>
            <w:shd w:fill="F5F5F5"/>
            <w:tcMar>
              <w:top w:w="85" w:type="dxa"/>
              <w:left w:w="85" w:type="dxa"/>
              <w:bottom w:w="85" w:type="dxa"/>
              <w:right w:w="85" w:type="dxa"/>
            </w:tcMar>
          </w:tcPr>
          <w:p>
            <w:pPr>
              <w:spacing w:after="20" w:before="20" w:line="245" w:lineRule="auto"/>
            </w:pPr>
            <w:r>
              <w:rPr>
                <w:b w:val="0"/>
                <w:sz w:val="20"/>
                <w:color w:val="242021"/>
              </w:rPr>
              <w:t>Registra análisis y cambios del motor</w:t>
            </w:r>
          </w:p>
        </w:tc>
        <w:tc>
          <w:tcPr>
            <w:tcW w:type="dxa" w:w="2413"/>
            <w:vAlign w:val="center"/>
            <w:shd w:fill="F5F5F5"/>
            <w:tcMar>
              <w:top w:w="85" w:type="dxa"/>
              <w:left w:w="85" w:type="dxa"/>
              <w:bottom w:w="85" w:type="dxa"/>
              <w:right w:w="85" w:type="dxa"/>
            </w:tcMar>
          </w:tcPr>
          <w:p>
            <w:pPr>
              <w:spacing w:after="20" w:before="20" w:line="245" w:lineRule="auto"/>
            </w:pPr>
            <w:r>
              <w:rPr>
                <w:b w:val="0"/>
                <w:sz w:val="20"/>
                <w:color w:val="242021"/>
              </w:rPr>
              <w:t>Registra acciones de APEX y resguarda registros</w:t>
            </w:r>
          </w:p>
        </w:tc>
        <w:tc>
          <w:tcPr>
            <w:tcW w:type="dxa" w:w="2981"/>
            <w:vAlign w:val="center"/>
            <w:shd w:fill="F5F5F5"/>
            <w:tcMar>
              <w:top w:w="85" w:type="dxa"/>
              <w:left w:w="85" w:type="dxa"/>
              <w:bottom w:w="85" w:type="dxa"/>
              <w:right w:w="85" w:type="dxa"/>
            </w:tcMar>
          </w:tcPr>
          <w:p>
            <w:pPr>
              <w:spacing w:after="20" w:before="20" w:line="245" w:lineRule="auto"/>
            </w:pPr>
            <w:r>
              <w:rPr>
                <w:b w:val="0"/>
                <w:sz w:val="20"/>
                <w:color w:val="242021"/>
              </w:rPr>
              <w:t>Define retención y consulta</w:t>
            </w:r>
          </w:p>
        </w:tc>
      </w:tr>
      <w:tr>
        <w:trPr>
          <w:cantSplit/>
        </w:trPr>
        <w:tc>
          <w:tcPr>
            <w:tcW w:type="dxa" w:w="2200"/>
            <w:vAlign w:val="center"/>
            <w:shd w:fill="FFFFFF"/>
            <w:tcMar>
              <w:top w:w="85" w:type="dxa"/>
              <w:left w:w="85" w:type="dxa"/>
              <w:bottom w:w="85" w:type="dxa"/>
              <w:right w:w="85" w:type="dxa"/>
            </w:tcMar>
          </w:tcPr>
          <w:p>
            <w:pPr>
              <w:spacing w:after="20" w:before="20" w:line="245" w:lineRule="auto"/>
            </w:pPr>
            <w:r>
              <w:rPr>
                <w:b w:val="0"/>
                <w:sz w:val="20"/>
                <w:color w:val="242021"/>
              </w:rPr>
              <w:t>Pruebas integrales</w:t>
            </w:r>
          </w:p>
        </w:tc>
        <w:tc>
          <w:tcPr>
            <w:tcW w:type="dxa" w:w="2342"/>
            <w:vAlign w:val="center"/>
            <w:shd w:fill="FFFFFF"/>
            <w:tcMar>
              <w:top w:w="85" w:type="dxa"/>
              <w:left w:w="85" w:type="dxa"/>
              <w:bottom w:w="85" w:type="dxa"/>
              <w:right w:w="85" w:type="dxa"/>
            </w:tcMar>
          </w:tcPr>
          <w:p>
            <w:pPr>
              <w:spacing w:after="20" w:before="20" w:line="245" w:lineRule="auto"/>
            </w:pPr>
            <w:r>
              <w:rPr>
                <w:b w:val="0"/>
                <w:sz w:val="20"/>
                <w:color w:val="242021"/>
              </w:rPr>
              <w:t>Prueba y corrige su componente</w:t>
            </w:r>
          </w:p>
        </w:tc>
        <w:tc>
          <w:tcPr>
            <w:tcW w:type="dxa" w:w="2413"/>
            <w:vAlign w:val="center"/>
            <w:shd w:fill="FFFFFF"/>
            <w:tcMar>
              <w:top w:w="85" w:type="dxa"/>
              <w:left w:w="85" w:type="dxa"/>
              <w:bottom w:w="85" w:type="dxa"/>
              <w:right w:w="85" w:type="dxa"/>
            </w:tcMar>
          </w:tcPr>
          <w:p>
            <w:pPr>
              <w:spacing w:after="20" w:before="20" w:line="245" w:lineRule="auto"/>
            </w:pPr>
            <w:r>
              <w:rPr>
                <w:b w:val="0"/>
                <w:sz w:val="20"/>
                <w:color w:val="242021"/>
              </w:rPr>
              <w:t>Prueba y corrige su componente</w:t>
            </w:r>
          </w:p>
        </w:tc>
        <w:tc>
          <w:tcPr>
            <w:tcW w:type="dxa" w:w="2981"/>
            <w:vAlign w:val="center"/>
            <w:shd w:fill="FFFFFF"/>
            <w:tcMar>
              <w:top w:w="85" w:type="dxa"/>
              <w:left w:w="85" w:type="dxa"/>
              <w:bottom w:w="85" w:type="dxa"/>
              <w:right w:w="85" w:type="dxa"/>
            </w:tcMar>
          </w:tcPr>
          <w:p>
            <w:pPr>
              <w:spacing w:after="20" w:before="20" w:line="245" w:lineRule="auto"/>
            </w:pPr>
            <w:r>
              <w:rPr>
                <w:b w:val="0"/>
                <w:sz w:val="20"/>
                <w:color w:val="242021"/>
              </w:rPr>
              <w:t>Ejecuta UAT y acepta funcionalmente</w:t>
            </w:r>
          </w:p>
        </w:tc>
      </w:tr>
      <w:tr>
        <w:trPr>
          <w:cantSplit/>
        </w:trPr>
        <w:tc>
          <w:tcPr>
            <w:tcW w:type="dxa" w:w="2200"/>
            <w:vAlign w:val="center"/>
            <w:shd w:fill="F5F5F5"/>
            <w:tcMar>
              <w:top w:w="85" w:type="dxa"/>
              <w:left w:w="85" w:type="dxa"/>
              <w:bottom w:w="85" w:type="dxa"/>
              <w:right w:w="85" w:type="dxa"/>
            </w:tcMar>
          </w:tcPr>
          <w:p>
            <w:pPr>
              <w:spacing w:after="20" w:before="20" w:line="245" w:lineRule="auto"/>
            </w:pPr>
            <w:r>
              <w:rPr>
                <w:b w:val="0"/>
                <w:sz w:val="20"/>
                <w:color w:val="242021"/>
              </w:rPr>
              <w:t>Puesta en producción</w:t>
            </w:r>
          </w:p>
        </w:tc>
        <w:tc>
          <w:tcPr>
            <w:tcW w:type="dxa" w:w="2342"/>
            <w:vAlign w:val="center"/>
            <w:shd w:fill="F5F5F5"/>
            <w:tcMar>
              <w:top w:w="85" w:type="dxa"/>
              <w:left w:w="85" w:type="dxa"/>
              <w:bottom w:w="85" w:type="dxa"/>
              <w:right w:w="85" w:type="dxa"/>
            </w:tcMar>
          </w:tcPr>
          <w:p>
            <w:pPr>
              <w:spacing w:after="20" w:before="20" w:line="245" w:lineRule="auto"/>
            </w:pPr>
            <w:r>
              <w:rPr>
                <w:b w:val="0"/>
                <w:sz w:val="20"/>
                <w:color w:val="242021"/>
              </w:rPr>
              <w:t>Instala y verifica solución MACAO</w:t>
            </w:r>
          </w:p>
        </w:tc>
        <w:tc>
          <w:tcPr>
            <w:tcW w:type="dxa" w:w="2413"/>
            <w:vAlign w:val="center"/>
            <w:shd w:fill="F5F5F5"/>
            <w:tcMar>
              <w:top w:w="85" w:type="dxa"/>
              <w:left w:w="85" w:type="dxa"/>
              <w:bottom w:w="85" w:type="dxa"/>
              <w:right w:w="85" w:type="dxa"/>
            </w:tcMar>
          </w:tcPr>
          <w:p>
            <w:pPr>
              <w:spacing w:after="20" w:before="20" w:line="245" w:lineRule="auto"/>
            </w:pPr>
            <w:r>
              <w:rPr>
                <w:b w:val="0"/>
                <w:sz w:val="20"/>
                <w:color w:val="242021"/>
              </w:rPr>
              <w:t>Autoriza y ejecuta controles del ambiente</w:t>
            </w:r>
          </w:p>
        </w:tc>
        <w:tc>
          <w:tcPr>
            <w:tcW w:type="dxa" w:w="2981"/>
            <w:vAlign w:val="center"/>
            <w:shd w:fill="F5F5F5"/>
            <w:tcMar>
              <w:top w:w="85" w:type="dxa"/>
              <w:left w:w="85" w:type="dxa"/>
              <w:bottom w:w="85" w:type="dxa"/>
              <w:right w:w="85" w:type="dxa"/>
            </w:tcMar>
          </w:tcPr>
          <w:p>
            <w:pPr>
              <w:spacing w:after="20" w:before="20" w:line="245" w:lineRule="auto"/>
            </w:pPr>
            <w:r>
              <w:rPr>
                <w:b w:val="0"/>
                <w:sz w:val="20"/>
                <w:color w:val="242021"/>
              </w:rPr>
              <w:t>Autoriza inicio operativo</w:t>
            </w:r>
          </w:p>
        </w:tc>
      </w:tr>
      <w:tr>
        <w:trPr>
          <w:cantSplit/>
        </w:trPr>
        <w:tc>
          <w:tcPr>
            <w:tcW w:type="dxa" w:w="2200"/>
            <w:vAlign w:val="center"/>
            <w:shd w:fill="FFFFFF"/>
            <w:tcMar>
              <w:top w:w="85" w:type="dxa"/>
              <w:left w:w="85" w:type="dxa"/>
              <w:bottom w:w="85" w:type="dxa"/>
              <w:right w:w="85" w:type="dxa"/>
            </w:tcMar>
          </w:tcPr>
          <w:p>
            <w:pPr>
              <w:spacing w:after="20" w:before="20" w:line="245" w:lineRule="auto"/>
            </w:pPr>
            <w:r>
              <w:rPr>
                <w:b w:val="0"/>
                <w:sz w:val="20"/>
                <w:color w:val="242021"/>
              </w:rPr>
              <w:t>Incidentes y continuidad</w:t>
            </w:r>
          </w:p>
        </w:tc>
        <w:tc>
          <w:tcPr>
            <w:tcW w:type="dxa" w:w="2342"/>
            <w:vAlign w:val="center"/>
            <w:shd w:fill="FFFFFF"/>
            <w:tcMar>
              <w:top w:w="85" w:type="dxa"/>
              <w:left w:w="85" w:type="dxa"/>
              <w:bottom w:w="85" w:type="dxa"/>
              <w:right w:w="85" w:type="dxa"/>
            </w:tcMar>
          </w:tcPr>
          <w:p>
            <w:pPr>
              <w:spacing w:after="20" w:before="20" w:line="245" w:lineRule="auto"/>
            </w:pPr>
            <w:r>
              <w:rPr>
                <w:b w:val="0"/>
                <w:sz w:val="20"/>
                <w:color w:val="242021"/>
              </w:rPr>
              <w:t>Atiende defectos cubiertos y soporte contratado</w:t>
            </w:r>
          </w:p>
        </w:tc>
        <w:tc>
          <w:tcPr>
            <w:tcW w:type="dxa" w:w="2413"/>
            <w:vAlign w:val="center"/>
            <w:shd w:fill="FFFFFF"/>
            <w:tcMar>
              <w:top w:w="85" w:type="dxa"/>
              <w:left w:w="85" w:type="dxa"/>
              <w:bottom w:w="85" w:type="dxa"/>
              <w:right w:w="85" w:type="dxa"/>
            </w:tcMar>
          </w:tcPr>
          <w:p>
            <w:pPr>
              <w:spacing w:after="20" w:before="20" w:line="245" w:lineRule="auto"/>
            </w:pPr>
            <w:r>
              <w:rPr>
                <w:b w:val="0"/>
                <w:sz w:val="20"/>
                <w:color w:val="242021"/>
              </w:rPr>
              <w:t>Atiende APEX, red, base y respaldos</w:t>
            </w:r>
          </w:p>
        </w:tc>
        <w:tc>
          <w:tcPr>
            <w:tcW w:type="dxa" w:w="2981"/>
            <w:vAlign w:val="center"/>
            <w:shd w:fill="FFFFFF"/>
            <w:tcMar>
              <w:top w:w="85" w:type="dxa"/>
              <w:left w:w="85" w:type="dxa"/>
              <w:bottom w:w="85" w:type="dxa"/>
              <w:right w:w="85" w:type="dxa"/>
            </w:tcMar>
          </w:tcPr>
          <w:p>
            <w:pPr>
              <w:spacing w:after="20" w:before="20" w:line="245" w:lineRule="auto"/>
            </w:pPr>
            <w:r>
              <w:rPr>
                <w:b w:val="0"/>
                <w:sz w:val="20"/>
                <w:color w:val="242021"/>
              </w:rPr>
              <w:t>Reporta impacto y prioriza</w:t>
            </w:r>
          </w:p>
        </w:tc>
      </w:tr>
    </w:tbl>
    <w:p/>
    <w:p>
      <w:r>
        <w:t>Las decisiones de aprobación de expedientes corresponden exclusivamente al personal autorizado del banco. La integración se acepta con evidencia conjunta; una prueba aislada de API no sustituye el recorrido completo. Cada parte conserva la responsabilidad por sus propios componentes y errores.</w:t>
      </w:r>
    </w:p>
    <w:p>
      <w:r>
        <w:br w:type="page"/>
      </w:r>
    </w:p>
    <w:p>
      <w:pPr>
        <w:pStyle w:val="Heading1"/>
      </w:pPr>
      <w:r>
        <w:t>6 Cronograma y coordinación</w:t>
      </w:r>
    </w:p>
    <w:p>
      <w:r>
        <w:t>Los equipos trabajarán en paralelo durante ocho semanas. La semana 6 es la meta de un piloto integrado controlado, alineada con el estimado de mes y medio de IT; la entrega completa se mantiene en la semana 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2"/>
        <w:gridCol w:w="4613"/>
        <w:gridCol w:w="4471"/>
      </w:tblGrid>
      <w:tr>
        <w:trPr>
          <w:cantSplit/>
          <w:tblHeader/>
        </w:trPr>
        <w:tc>
          <w:tcPr>
            <w:tcW w:type="dxa" w:w="852"/>
            <w:vAlign w:val="center"/>
            <w:shd w:fill="242021"/>
            <w:tcMar>
              <w:top w:w="85" w:type="dxa"/>
              <w:left w:w="85" w:type="dxa"/>
              <w:bottom w:w="85" w:type="dxa"/>
              <w:right w:w="85" w:type="dxa"/>
            </w:tcMar>
            <w:tcBorders>
              <w:bottom w:val="single" w:sz="8" w:color="FF0006"/>
            </w:tcBorders>
          </w:tcPr>
          <w:p>
            <w:pPr>
              <w:spacing w:after="20" w:before="20" w:line="245" w:lineRule="auto"/>
            </w:pPr>
            <w:r>
              <w:rPr>
                <w:b/>
                <w:sz w:val="20"/>
                <w:color w:val="FFFFFF"/>
              </w:rPr>
              <w:t>Semana</w:t>
            </w:r>
          </w:p>
        </w:tc>
        <w:tc>
          <w:tcPr>
            <w:tcW w:type="dxa" w:w="4613"/>
            <w:vAlign w:val="center"/>
            <w:shd w:fill="242021"/>
            <w:tcMar>
              <w:top w:w="85" w:type="dxa"/>
              <w:left w:w="85" w:type="dxa"/>
              <w:bottom w:w="85" w:type="dxa"/>
              <w:right w:w="85" w:type="dxa"/>
            </w:tcMar>
            <w:tcBorders>
              <w:bottom w:val="single" w:sz="8" w:color="FF0006"/>
            </w:tcBorders>
          </w:tcPr>
          <w:p>
            <w:pPr>
              <w:spacing w:after="20" w:before="20" w:line="245" w:lineRule="auto"/>
            </w:pPr>
            <w:r>
              <w:rPr>
                <w:b/>
                <w:sz w:val="20"/>
                <w:color w:val="FFFFFF"/>
              </w:rPr>
              <w:t>Entrega de MACAO</w:t>
            </w:r>
          </w:p>
        </w:tc>
        <w:tc>
          <w:tcPr>
            <w:tcW w:type="dxa" w:w="4471"/>
            <w:vAlign w:val="center"/>
            <w:shd w:fill="242021"/>
            <w:tcMar>
              <w:top w:w="85" w:type="dxa"/>
              <w:left w:w="85" w:type="dxa"/>
              <w:bottom w:w="85" w:type="dxa"/>
              <w:right w:w="85" w:type="dxa"/>
            </w:tcMar>
            <w:tcBorders>
              <w:bottom w:val="single" w:sz="8" w:color="FF0006"/>
            </w:tcBorders>
          </w:tcPr>
          <w:p>
            <w:pPr>
              <w:spacing w:after="20" w:before="20" w:line="245" w:lineRule="auto"/>
            </w:pPr>
            <w:r>
              <w:rPr>
                <w:b/>
                <w:sz w:val="20"/>
                <w:color w:val="FFFFFF"/>
              </w:rPr>
              <w:t>Participación del banco</w:t>
            </w:r>
          </w:p>
        </w:tc>
      </w:tr>
      <w:tr>
        <w:trPr>
          <w:cantSplit/>
        </w:trPr>
        <w:tc>
          <w:tcPr>
            <w:tcW w:type="dxa" w:w="852"/>
            <w:vAlign w:val="center"/>
            <w:shd w:fill="FFFFFF"/>
            <w:tcMar>
              <w:top w:w="85" w:type="dxa"/>
              <w:left w:w="85" w:type="dxa"/>
              <w:bottom w:w="85" w:type="dxa"/>
              <w:right w:w="85" w:type="dxa"/>
            </w:tcMar>
          </w:tcPr>
          <w:p>
            <w:pPr>
              <w:spacing w:after="20" w:before="20" w:line="245" w:lineRule="auto"/>
            </w:pPr>
            <w:r>
              <w:rPr>
                <w:b w:val="0"/>
                <w:sz w:val="20"/>
                <w:color w:val="242021"/>
              </w:rPr>
              <w:t>1</w:t>
            </w:r>
          </w:p>
        </w:tc>
        <w:tc>
          <w:tcPr>
            <w:tcW w:type="dxa" w:w="4613"/>
            <w:vAlign w:val="center"/>
            <w:shd w:fill="FFFFFF"/>
            <w:tcMar>
              <w:top w:w="85" w:type="dxa"/>
              <w:left w:w="85" w:type="dxa"/>
              <w:bottom w:w="85" w:type="dxa"/>
              <w:right w:w="85" w:type="dxa"/>
            </w:tcMar>
          </w:tcPr>
          <w:p>
            <w:pPr>
              <w:spacing w:after="20" w:before="20" w:line="245" w:lineRule="auto"/>
            </w:pPr>
            <w:r>
              <w:rPr>
                <w:b w:val="0"/>
                <w:sz w:val="20"/>
                <w:color w:val="242021"/>
              </w:rPr>
              <w:t>Alcance, matriz de reglas, arquitectura, diseño del portal, contrato API y criterios UAT.</w:t>
            </w:r>
          </w:p>
        </w:tc>
        <w:tc>
          <w:tcPr>
            <w:tcW w:type="dxa" w:w="4471"/>
            <w:vAlign w:val="center"/>
            <w:shd w:fill="FFFFFF"/>
            <w:tcMar>
              <w:top w:w="85" w:type="dxa"/>
              <w:left w:w="85" w:type="dxa"/>
              <w:bottom w:w="85" w:type="dxa"/>
              <w:right w:w="85" w:type="dxa"/>
            </w:tcMar>
          </w:tcPr>
          <w:p>
            <w:pPr>
              <w:spacing w:after="20" w:before="20" w:line="245" w:lineRule="auto"/>
            </w:pPr>
            <w:r>
              <w:rPr>
                <w:b w:val="0"/>
                <w:sz w:val="20"/>
                <w:color w:val="242021"/>
              </w:rPr>
              <w:t>Confirma versiones, muestras, reglas, responsables, servicios y calendario.</w:t>
            </w:r>
          </w:p>
        </w:tc>
      </w:tr>
      <w:tr>
        <w:trPr>
          <w:cantSplit/>
        </w:trPr>
        <w:tc>
          <w:tcPr>
            <w:tcW w:type="dxa" w:w="852"/>
            <w:vAlign w:val="center"/>
            <w:shd w:fill="F5F5F5"/>
            <w:tcMar>
              <w:top w:w="85" w:type="dxa"/>
              <w:left w:w="85" w:type="dxa"/>
              <w:bottom w:w="85" w:type="dxa"/>
              <w:right w:w="85" w:type="dxa"/>
            </w:tcMar>
          </w:tcPr>
          <w:p>
            <w:pPr>
              <w:spacing w:after="20" w:before="20" w:line="245" w:lineRule="auto"/>
            </w:pPr>
            <w:r>
              <w:rPr>
                <w:b w:val="0"/>
                <w:sz w:val="20"/>
                <w:color w:val="242021"/>
              </w:rPr>
              <w:t>2</w:t>
            </w:r>
          </w:p>
        </w:tc>
        <w:tc>
          <w:tcPr>
            <w:tcW w:type="dxa" w:w="4613"/>
            <w:vAlign w:val="center"/>
            <w:shd w:fill="F5F5F5"/>
            <w:tcMar>
              <w:top w:w="85" w:type="dxa"/>
              <w:left w:w="85" w:type="dxa"/>
              <w:bottom w:w="85" w:type="dxa"/>
              <w:right w:w="85" w:type="dxa"/>
            </w:tcMar>
          </w:tcPr>
          <w:p>
            <w:pPr>
              <w:spacing w:after="20" w:before="20" w:line="245" w:lineRule="auto"/>
            </w:pPr>
            <w:r>
              <w:rPr>
                <w:b w:val="0"/>
                <w:sz w:val="20"/>
                <w:color w:val="242021"/>
              </w:rPr>
              <w:t>Ambiente base, acceso al portal, estructura de configuración y primer intercambio de prueba.</w:t>
            </w:r>
          </w:p>
        </w:tc>
        <w:tc>
          <w:tcPr>
            <w:tcW w:type="dxa" w:w="4471"/>
            <w:vAlign w:val="center"/>
            <w:shd w:fill="F5F5F5"/>
            <w:tcMar>
              <w:top w:w="85" w:type="dxa"/>
              <w:left w:w="85" w:type="dxa"/>
              <w:bottom w:w="85" w:type="dxa"/>
              <w:right w:w="85" w:type="dxa"/>
            </w:tcMar>
          </w:tcPr>
          <w:p>
            <w:pPr>
              <w:spacing w:after="20" w:before="20" w:line="245" w:lineRule="auto"/>
            </w:pPr>
            <w:r>
              <w:rPr>
                <w:b w:val="0"/>
                <w:sz w:val="20"/>
                <w:color w:val="242021"/>
              </w:rPr>
              <w:t>Habilita ambientes, base, documentos, Gemini y conexión APEX.</w:t>
            </w:r>
          </w:p>
        </w:tc>
      </w:tr>
      <w:tr>
        <w:trPr>
          <w:cantSplit/>
        </w:trPr>
        <w:tc>
          <w:tcPr>
            <w:tcW w:type="dxa" w:w="852"/>
            <w:vAlign w:val="center"/>
            <w:shd w:fill="FFFFFF"/>
            <w:tcMar>
              <w:top w:w="85" w:type="dxa"/>
              <w:left w:w="85" w:type="dxa"/>
              <w:bottom w:w="85" w:type="dxa"/>
              <w:right w:w="85" w:type="dxa"/>
            </w:tcMar>
          </w:tcPr>
          <w:p>
            <w:pPr>
              <w:spacing w:after="20" w:before="20" w:line="245" w:lineRule="auto"/>
            </w:pPr>
            <w:r>
              <w:rPr>
                <w:b w:val="0"/>
                <w:sz w:val="20"/>
                <w:color w:val="242021"/>
              </w:rPr>
              <w:t>3</w:t>
            </w:r>
          </w:p>
        </w:tc>
        <w:tc>
          <w:tcPr>
            <w:tcW w:type="dxa" w:w="4613"/>
            <w:vAlign w:val="center"/>
            <w:shd w:fill="FFFFFF"/>
            <w:tcMar>
              <w:top w:w="85" w:type="dxa"/>
              <w:left w:w="85" w:type="dxa"/>
              <w:bottom w:w="85" w:type="dxa"/>
              <w:right w:w="85" w:type="dxa"/>
            </w:tcMar>
          </w:tcPr>
          <w:p>
            <w:pPr>
              <w:spacing w:after="20" w:before="20" w:line="245" w:lineRule="auto"/>
            </w:pPr>
            <w:r>
              <w:rPr>
                <w:b w:val="0"/>
                <w:sz w:val="20"/>
                <w:color w:val="242021"/>
              </w:rPr>
              <w:t>Clasificación, extracción y pantallas de matrices y reglas.</w:t>
            </w:r>
          </w:p>
        </w:tc>
        <w:tc>
          <w:tcPr>
            <w:tcW w:type="dxa" w:w="4471"/>
            <w:vAlign w:val="center"/>
            <w:shd w:fill="FFFFFF"/>
            <w:tcMar>
              <w:top w:w="85" w:type="dxa"/>
              <w:left w:w="85" w:type="dxa"/>
              <w:bottom w:w="85" w:type="dxa"/>
              <w:right w:w="85" w:type="dxa"/>
            </w:tcMar>
          </w:tcPr>
          <w:p>
            <w:pPr>
              <w:spacing w:after="20" w:before="20" w:line="245" w:lineRule="auto"/>
            </w:pPr>
            <w:r>
              <w:rPr>
                <w:b w:val="0"/>
                <w:sz w:val="20"/>
                <w:color w:val="242021"/>
              </w:rPr>
              <w:t>Prueba intercambio y valida resultados con muestras.</w:t>
            </w:r>
          </w:p>
        </w:tc>
      </w:tr>
      <w:tr>
        <w:trPr>
          <w:cantSplit/>
        </w:trPr>
        <w:tc>
          <w:tcPr>
            <w:tcW w:type="dxa" w:w="852"/>
            <w:vAlign w:val="center"/>
            <w:shd w:fill="F5F5F5"/>
            <w:tcMar>
              <w:top w:w="85" w:type="dxa"/>
              <w:left w:w="85" w:type="dxa"/>
              <w:bottom w:w="85" w:type="dxa"/>
              <w:right w:w="85" w:type="dxa"/>
            </w:tcMar>
          </w:tcPr>
          <w:p>
            <w:pPr>
              <w:spacing w:after="20" w:before="20" w:line="245" w:lineRule="auto"/>
            </w:pPr>
            <w:r>
              <w:rPr>
                <w:b w:val="0"/>
                <w:sz w:val="20"/>
                <w:color w:val="242021"/>
              </w:rPr>
              <w:t>4</w:t>
            </w:r>
          </w:p>
        </w:tc>
        <w:tc>
          <w:tcPr>
            <w:tcW w:type="dxa" w:w="4613"/>
            <w:vAlign w:val="center"/>
            <w:shd w:fill="F5F5F5"/>
            <w:tcMar>
              <w:top w:w="85" w:type="dxa"/>
              <w:left w:w="85" w:type="dxa"/>
              <w:bottom w:w="85" w:type="dxa"/>
              <w:right w:w="85" w:type="dxa"/>
            </w:tcMar>
          </w:tcPr>
          <w:p>
            <w:pPr>
              <w:spacing w:after="20" w:before="20" w:line="245" w:lineRule="auto"/>
            </w:pPr>
            <w:r>
              <w:rPr>
                <w:b w:val="0"/>
                <w:sz w:val="20"/>
                <w:color w:val="242021"/>
              </w:rPr>
              <w:t>Consistencia, evidencia, versionado, publicación y auditoría.</w:t>
            </w:r>
          </w:p>
        </w:tc>
        <w:tc>
          <w:tcPr>
            <w:tcW w:type="dxa" w:w="4471"/>
            <w:vAlign w:val="center"/>
            <w:shd w:fill="F5F5F5"/>
            <w:tcMar>
              <w:top w:w="85" w:type="dxa"/>
              <w:left w:w="85" w:type="dxa"/>
              <w:bottom w:w="85" w:type="dxa"/>
              <w:right w:w="85" w:type="dxa"/>
            </w:tcMar>
          </w:tcPr>
          <w:p>
            <w:pPr>
              <w:spacing w:after="20" w:before="20" w:line="245" w:lineRule="auto"/>
            </w:pPr>
            <w:r>
              <w:rPr>
                <w:b w:val="0"/>
                <w:sz w:val="20"/>
                <w:color w:val="242021"/>
              </w:rPr>
              <w:t>Valida reglas y presenta resultados en APEX.</w:t>
            </w:r>
          </w:p>
        </w:tc>
      </w:tr>
      <w:tr>
        <w:trPr>
          <w:cantSplit/>
        </w:trPr>
        <w:tc>
          <w:tcPr>
            <w:tcW w:type="dxa" w:w="852"/>
            <w:vAlign w:val="center"/>
            <w:shd w:fill="FFFFFF"/>
            <w:tcMar>
              <w:top w:w="85" w:type="dxa"/>
              <w:left w:w="85" w:type="dxa"/>
              <w:bottom w:w="85" w:type="dxa"/>
              <w:right w:w="85" w:type="dxa"/>
            </w:tcMar>
          </w:tcPr>
          <w:p>
            <w:pPr>
              <w:spacing w:after="20" w:before="20" w:line="245" w:lineRule="auto"/>
            </w:pPr>
            <w:r>
              <w:rPr>
                <w:b w:val="0"/>
                <w:sz w:val="20"/>
                <w:color w:val="242021"/>
              </w:rPr>
              <w:t>5</w:t>
            </w:r>
          </w:p>
        </w:tc>
        <w:tc>
          <w:tcPr>
            <w:tcW w:type="dxa" w:w="4613"/>
            <w:vAlign w:val="center"/>
            <w:shd w:fill="FFFFFF"/>
            <w:tcMar>
              <w:top w:w="85" w:type="dxa"/>
              <w:left w:w="85" w:type="dxa"/>
              <w:bottom w:w="85" w:type="dxa"/>
              <w:right w:w="85" w:type="dxa"/>
            </w:tcMar>
          </w:tcPr>
          <w:p>
            <w:pPr>
              <w:spacing w:after="20" w:before="20" w:line="245" w:lineRule="auto"/>
            </w:pPr>
            <w:r>
              <w:rPr>
                <w:b w:val="0"/>
                <w:sz w:val="20"/>
                <w:color w:val="242021"/>
              </w:rPr>
              <w:t>Recorrido integrado, errores, duplicados y reprocesos.</w:t>
            </w:r>
          </w:p>
        </w:tc>
        <w:tc>
          <w:tcPr>
            <w:tcW w:type="dxa" w:w="4471"/>
            <w:vAlign w:val="center"/>
            <w:shd w:fill="FFFFFF"/>
            <w:tcMar>
              <w:top w:w="85" w:type="dxa"/>
              <w:left w:w="85" w:type="dxa"/>
              <w:bottom w:w="85" w:type="dxa"/>
              <w:right w:w="85" w:type="dxa"/>
            </w:tcMar>
          </w:tcPr>
          <w:p>
            <w:pPr>
              <w:spacing w:after="20" w:before="20" w:line="245" w:lineRule="auto"/>
            </w:pPr>
            <w:r>
              <w:rPr>
                <w:b w:val="0"/>
                <w:sz w:val="20"/>
                <w:color w:val="242021"/>
              </w:rPr>
              <w:t>Completa su extremo y participa en pruebas conjuntas.</w:t>
            </w:r>
          </w:p>
        </w:tc>
      </w:tr>
      <w:tr>
        <w:trPr>
          <w:cantSplit/>
        </w:trPr>
        <w:tc>
          <w:tcPr>
            <w:tcW w:type="dxa" w:w="852"/>
            <w:vAlign w:val="center"/>
            <w:shd w:fill="F5F5F5"/>
            <w:tcMar>
              <w:top w:w="85" w:type="dxa"/>
              <w:left w:w="85" w:type="dxa"/>
              <w:bottom w:w="85" w:type="dxa"/>
              <w:right w:w="85" w:type="dxa"/>
            </w:tcMar>
          </w:tcPr>
          <w:p>
            <w:pPr>
              <w:spacing w:after="20" w:before="20" w:line="245" w:lineRule="auto"/>
            </w:pPr>
            <w:r>
              <w:rPr>
                <w:b w:val="0"/>
                <w:sz w:val="20"/>
                <w:color w:val="242021"/>
              </w:rPr>
              <w:t>6</w:t>
            </w:r>
          </w:p>
        </w:tc>
        <w:tc>
          <w:tcPr>
            <w:tcW w:type="dxa" w:w="4613"/>
            <w:vAlign w:val="center"/>
            <w:shd w:fill="F5F5F5"/>
            <w:tcMar>
              <w:top w:w="85" w:type="dxa"/>
              <w:left w:w="85" w:type="dxa"/>
              <w:bottom w:w="85" w:type="dxa"/>
              <w:right w:w="85" w:type="dxa"/>
            </w:tcMar>
          </w:tcPr>
          <w:p>
            <w:pPr>
              <w:spacing w:after="20" w:before="20" w:line="245" w:lineRule="auto"/>
            </w:pPr>
            <w:r>
              <w:rPr>
                <w:b w:val="0"/>
                <w:sz w:val="20"/>
                <w:color w:val="242021"/>
              </w:rPr>
              <w:t>Versión candidata y piloto controlado con portal y motor.</w:t>
            </w:r>
          </w:p>
        </w:tc>
        <w:tc>
          <w:tcPr>
            <w:tcW w:type="dxa" w:w="4471"/>
            <w:vAlign w:val="center"/>
            <w:shd w:fill="F5F5F5"/>
            <w:tcMar>
              <w:top w:w="85" w:type="dxa"/>
              <w:left w:w="85" w:type="dxa"/>
              <w:bottom w:w="85" w:type="dxa"/>
              <w:right w:w="85" w:type="dxa"/>
            </w:tcMar>
          </w:tcPr>
          <w:p>
            <w:pPr>
              <w:spacing w:after="20" w:before="20" w:line="245" w:lineRule="auto"/>
            </w:pPr>
            <w:r>
              <w:rPr>
                <w:b w:val="0"/>
                <w:sz w:val="20"/>
                <w:color w:val="242021"/>
              </w:rPr>
              <w:t>APEX disponible; valida recorrido con usuarios clave.</w:t>
            </w:r>
          </w:p>
        </w:tc>
      </w:tr>
      <w:tr>
        <w:trPr>
          <w:cantSplit/>
        </w:trPr>
        <w:tc>
          <w:tcPr>
            <w:tcW w:type="dxa" w:w="852"/>
            <w:vAlign w:val="center"/>
            <w:shd w:fill="FFFFFF"/>
            <w:tcMar>
              <w:top w:w="85" w:type="dxa"/>
              <w:left w:w="85" w:type="dxa"/>
              <w:bottom w:w="85" w:type="dxa"/>
              <w:right w:w="85" w:type="dxa"/>
            </w:tcMar>
          </w:tcPr>
          <w:p>
            <w:pPr>
              <w:spacing w:after="20" w:before="20" w:line="245" w:lineRule="auto"/>
            </w:pPr>
            <w:r>
              <w:rPr>
                <w:b w:val="0"/>
                <w:sz w:val="20"/>
                <w:color w:val="242021"/>
              </w:rPr>
              <w:t>7</w:t>
            </w:r>
          </w:p>
        </w:tc>
        <w:tc>
          <w:tcPr>
            <w:tcW w:type="dxa" w:w="4613"/>
            <w:vAlign w:val="center"/>
            <w:shd w:fill="FFFFFF"/>
            <w:tcMar>
              <w:top w:w="85" w:type="dxa"/>
              <w:left w:w="85" w:type="dxa"/>
              <w:bottom w:w="85" w:type="dxa"/>
              <w:right w:w="85" w:type="dxa"/>
            </w:tcMar>
          </w:tcPr>
          <w:p>
            <w:pPr>
              <w:spacing w:after="20" w:before="20" w:line="245" w:lineRule="auto"/>
            </w:pPr>
            <w:r>
              <w:rPr>
                <w:b w:val="0"/>
                <w:sz w:val="20"/>
                <w:color w:val="242021"/>
              </w:rPr>
              <w:t>UAT, seguridad y rendimiento acordados; correcciones y manuales.</w:t>
            </w:r>
          </w:p>
        </w:tc>
        <w:tc>
          <w:tcPr>
            <w:tcW w:type="dxa" w:w="4471"/>
            <w:vAlign w:val="center"/>
            <w:shd w:fill="FFFFFF"/>
            <w:tcMar>
              <w:top w:w="85" w:type="dxa"/>
              <w:left w:w="85" w:type="dxa"/>
              <w:bottom w:w="85" w:type="dxa"/>
              <w:right w:w="85" w:type="dxa"/>
            </w:tcMar>
          </w:tcPr>
          <w:p>
            <w:pPr>
              <w:spacing w:after="20" w:before="20" w:line="245" w:lineRule="auto"/>
            </w:pPr>
            <w:r>
              <w:rPr>
                <w:b w:val="0"/>
                <w:sz w:val="20"/>
                <w:color w:val="242021"/>
              </w:rPr>
              <w:t>Ejecuta UAT y consolida observaciones.</w:t>
            </w:r>
          </w:p>
        </w:tc>
      </w:tr>
      <w:tr>
        <w:trPr>
          <w:cantSplit/>
        </w:trPr>
        <w:tc>
          <w:tcPr>
            <w:tcW w:type="dxa" w:w="852"/>
            <w:vAlign w:val="center"/>
            <w:shd w:fill="F5F5F5"/>
            <w:tcMar>
              <w:top w:w="85" w:type="dxa"/>
              <w:left w:w="85" w:type="dxa"/>
              <w:bottom w:w="85" w:type="dxa"/>
              <w:right w:w="85" w:type="dxa"/>
            </w:tcMar>
          </w:tcPr>
          <w:p>
            <w:pPr>
              <w:spacing w:after="20" w:before="20" w:line="245" w:lineRule="auto"/>
            </w:pPr>
            <w:r>
              <w:rPr>
                <w:b w:val="0"/>
                <w:sz w:val="20"/>
                <w:color w:val="242021"/>
              </w:rPr>
              <w:t>8</w:t>
            </w:r>
          </w:p>
        </w:tc>
        <w:tc>
          <w:tcPr>
            <w:tcW w:type="dxa" w:w="4613"/>
            <w:vAlign w:val="center"/>
            <w:shd w:fill="F5F5F5"/>
            <w:tcMar>
              <w:top w:w="85" w:type="dxa"/>
              <w:left w:w="85" w:type="dxa"/>
              <w:bottom w:w="85" w:type="dxa"/>
              <w:right w:w="85" w:type="dxa"/>
            </w:tcMar>
          </w:tcPr>
          <w:p>
            <w:pPr>
              <w:spacing w:after="20" w:before="20" w:line="245" w:lineRule="auto"/>
            </w:pPr>
            <w:r>
              <w:rPr>
                <w:b w:val="0"/>
                <w:sz w:val="20"/>
                <w:color w:val="242021"/>
              </w:rPr>
              <w:t>Correcciones finales, capacitación, despliegue y entrega formal.</w:t>
            </w:r>
          </w:p>
        </w:tc>
        <w:tc>
          <w:tcPr>
            <w:tcW w:type="dxa" w:w="4471"/>
            <w:vAlign w:val="center"/>
            <w:shd w:fill="F5F5F5"/>
            <w:tcMar>
              <w:top w:w="85" w:type="dxa"/>
              <w:left w:w="85" w:type="dxa"/>
              <w:bottom w:w="85" w:type="dxa"/>
              <w:right w:w="85" w:type="dxa"/>
            </w:tcMar>
          </w:tcPr>
          <w:p>
            <w:pPr>
              <w:spacing w:after="20" w:before="20" w:line="245" w:lineRule="auto"/>
            </w:pPr>
            <w:r>
              <w:rPr>
                <w:b w:val="0"/>
                <w:sz w:val="20"/>
                <w:color w:val="242021"/>
              </w:rPr>
              <w:t>Verifica operación y recibe entregables.</w:t>
            </w:r>
          </w:p>
        </w:tc>
      </w:tr>
    </w:tbl>
    <w:p/>
    <w:p>
      <w:pPr>
        <w:pStyle w:val="Heading2"/>
      </w:pPr>
      <w:r>
        <w:t>Seguimiento incluido</w:t>
      </w:r>
    </w:p>
    <w:p>
      <w:pPr>
        <w:pStyle w:val="ListBullet"/>
      </w:pPr>
      <w:r>
        <w:t>Una reunión virtual semanal de hasta 60 minutos para avance, decisiones y riesgos, y una sesión técnica semanal con IT de hasta 60 minutos para integración y dependencias.</w:t>
      </w:r>
    </w:p>
    <w:p>
      <w:pPr>
        <w:pStyle w:val="ListBullet"/>
      </w:pPr>
      <w:r>
        <w:t>Hasta ocho revisiones presenciales de sábado, de hasta tres horas, en la ciudad acordada. Minuta semanal con evidencias, pendientes, responsables y fechas.</w:t>
      </w:r>
    </w:p>
    <w:p>
      <w:pPr>
        <w:pStyle w:val="Heading2"/>
      </w:pPr>
      <w:r>
        <w:t>Dependencias y cambios</w:t>
      </w:r>
    </w:p>
    <w:p>
      <w:r>
        <w:t>El inicio requiere anticipo, acta y prerrequisitos acordados. Las decisiones ordinarias se responderán en dos días hábiles. Los bloqueos se registrarán con evidencia, impacto y alternativa; se ajustarán únicamente las fechas afectadas y continuará el trabajo independiente.</w:t>
      </w:r>
    </w:p>
    <w:p>
      <w:r>
        <w:t>El piloto no equivale a aceptación final. Una salida definitiva en semana 6 requerirá acordar expresamente una entrega por fases. Nuevas funciones, formatos o modificaciones sustantivas se evaluarán por costo y plazo antes de su aprobación escrita.</w:t>
      </w:r>
    </w:p>
    <w:p>
      <w:r>
        <w:br w:type="page"/>
      </w:r>
    </w:p>
    <w:p>
      <w:pPr>
        <w:pStyle w:val="Heading1"/>
      </w:pPr>
      <w:r>
        <w:t>7 Entregables y pruebas de aceptación</w:t>
      </w:r>
    </w:p>
    <w:p>
      <w:pPr>
        <w:pStyle w:val="Heading2"/>
      </w:pPr>
      <w:r>
        <w:t>Paquete incluido en la inversión</w:t>
      </w:r>
    </w:p>
    <w:p>
      <w:pPr>
        <w:pStyle w:val="ListBullet"/>
      </w:pPr>
      <w:r>
        <w:t>Motor de análisis, API de integración y portal administrativo con pantallas, desplegados en los ambientes acordados del banco.</w:t>
      </w:r>
    </w:p>
    <w:p>
      <w:pPr>
        <w:pStyle w:val="ListBullet"/>
      </w:pPr>
      <w:r>
        <w:t>Configuración inicial de reglas y matrices, permisos, versiones y auditoría; adaptación inicial al mecanismo de base de datos y documentos aprobado.</w:t>
      </w:r>
    </w:p>
    <w:p>
      <w:pPr>
        <w:pStyle w:val="ListBullet"/>
      </w:pPr>
      <w:r>
        <w:t>Documentación de API con autenticación, modelos de datos, estados, errores y ejemplos; manual de administración de reglas y operación del portal.</w:t>
      </w:r>
    </w:p>
    <w:p>
      <w:pPr>
        <w:pStyle w:val="ListBullet"/>
      </w:pPr>
      <w:r>
        <w:t>Paquete operativo para ejecutar la versión entregada, configuración de instalación, guía de despliegue, respaldo, recuperación y diagnóstico, sin obligación de comprar el repositorio fuente.</w:t>
      </w:r>
    </w:p>
    <w:p>
      <w:pPr>
        <w:pStyle w:val="ListBullet"/>
      </w:pPr>
      <w:r>
        <w:t>Resultados de pruebas, actas semanales, relación de observaciones y acta de entrega. Dos sesiones de capacitación de hasta tres horas para un máximo de quince participantes, incluyendo administradores y equipo técnico.</w:t>
      </w:r>
    </w:p>
    <w:p>
      <w:pPr>
        <w:pStyle w:val="Heading2"/>
      </w:pPr>
      <w:r>
        <w:t>Escenarios mínimos de validación conjunta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71"/>
        <w:gridCol w:w="7665"/>
      </w:tblGrid>
      <w:tr>
        <w:trPr>
          <w:cantSplit/>
          <w:tblHeader/>
        </w:trPr>
        <w:tc>
          <w:tcPr>
            <w:tcW w:type="dxa" w:w="2271"/>
            <w:vAlign w:val="center"/>
            <w:shd w:fill="242021"/>
            <w:tcMar>
              <w:top w:w="85" w:type="dxa"/>
              <w:left w:w="85" w:type="dxa"/>
              <w:bottom w:w="85" w:type="dxa"/>
              <w:right w:w="85" w:type="dxa"/>
            </w:tcMar>
            <w:tcBorders>
              <w:bottom w:val="single" w:sz="8" w:color="FF0006"/>
            </w:tcBorders>
          </w:tcPr>
          <w:p>
            <w:pPr>
              <w:spacing w:after="20" w:before="20" w:line="245" w:lineRule="auto"/>
            </w:pPr>
            <w:r>
              <w:rPr>
                <w:b/>
                <w:sz w:val="20"/>
                <w:color w:val="FFFFFF"/>
              </w:rPr>
              <w:t>Frente</w:t>
            </w:r>
          </w:p>
        </w:tc>
        <w:tc>
          <w:tcPr>
            <w:tcW w:type="dxa" w:w="7665"/>
            <w:vAlign w:val="center"/>
            <w:shd w:fill="242021"/>
            <w:tcMar>
              <w:top w:w="85" w:type="dxa"/>
              <w:left w:w="85" w:type="dxa"/>
              <w:bottom w:w="85" w:type="dxa"/>
              <w:right w:w="85" w:type="dxa"/>
            </w:tcMar>
            <w:tcBorders>
              <w:bottom w:val="single" w:sz="8" w:color="FF0006"/>
            </w:tcBorders>
          </w:tcPr>
          <w:p>
            <w:pPr>
              <w:spacing w:after="20" w:before="20" w:line="245" w:lineRule="auto"/>
            </w:pPr>
            <w:r>
              <w:rPr>
                <w:b/>
                <w:sz w:val="20"/>
                <w:color w:val="FFFFFF"/>
              </w:rPr>
              <w:t>Evidencia de aceptación</w:t>
            </w:r>
          </w:p>
        </w:tc>
      </w:tr>
      <w:tr>
        <w:trPr>
          <w:cantSplit/>
        </w:trPr>
        <w:tc>
          <w:tcPr>
            <w:tcW w:type="dxa" w:w="2271"/>
            <w:vAlign w:val="center"/>
            <w:shd w:fill="FFFFFF"/>
            <w:tcMar>
              <w:top w:w="85" w:type="dxa"/>
              <w:left w:w="85" w:type="dxa"/>
              <w:bottom w:w="85" w:type="dxa"/>
              <w:right w:w="85" w:type="dxa"/>
            </w:tcMar>
          </w:tcPr>
          <w:p>
            <w:pPr>
              <w:spacing w:after="20" w:before="20" w:line="245" w:lineRule="auto"/>
            </w:pPr>
            <w:r>
              <w:rPr>
                <w:b w:val="0"/>
                <w:sz w:val="20"/>
                <w:color w:val="242021"/>
              </w:rPr>
              <w:t>Recorrido integrado</w:t>
            </w:r>
          </w:p>
        </w:tc>
        <w:tc>
          <w:tcPr>
            <w:tcW w:type="dxa" w:w="7665"/>
            <w:vAlign w:val="center"/>
            <w:shd w:fill="FFFFFF"/>
            <w:tcMar>
              <w:top w:w="85" w:type="dxa"/>
              <w:left w:w="85" w:type="dxa"/>
              <w:bottom w:w="85" w:type="dxa"/>
              <w:right w:w="85" w:type="dxa"/>
            </w:tcMar>
          </w:tcPr>
          <w:p>
            <w:pPr>
              <w:spacing w:after="20" w:before="20" w:line="245" w:lineRule="auto"/>
            </w:pPr>
            <w:r>
              <w:rPr>
                <w:b w:val="0"/>
                <w:sz w:val="20"/>
                <w:color w:val="242021"/>
              </w:rPr>
              <w:t>APEX envía un expediente, el motor lo analiza y APEX muestra resultados de la versión correcta.</w:t>
            </w:r>
          </w:p>
        </w:tc>
      </w:tr>
      <w:tr>
        <w:trPr>
          <w:cantSplit/>
        </w:trPr>
        <w:tc>
          <w:tcPr>
            <w:tcW w:type="dxa" w:w="2271"/>
            <w:vAlign w:val="center"/>
            <w:shd w:fill="F5F5F5"/>
            <w:tcMar>
              <w:top w:w="85" w:type="dxa"/>
              <w:left w:w="85" w:type="dxa"/>
              <w:bottom w:w="85" w:type="dxa"/>
              <w:right w:w="85" w:type="dxa"/>
            </w:tcMar>
          </w:tcPr>
          <w:p>
            <w:pPr>
              <w:spacing w:after="20" w:before="20" w:line="245" w:lineRule="auto"/>
            </w:pPr>
            <w:r>
              <w:rPr>
                <w:b w:val="0"/>
                <w:sz w:val="20"/>
                <w:color w:val="242021"/>
              </w:rPr>
              <w:t>Análisis documental</w:t>
            </w:r>
          </w:p>
        </w:tc>
        <w:tc>
          <w:tcPr>
            <w:tcW w:type="dxa" w:w="7665"/>
            <w:vAlign w:val="center"/>
            <w:shd w:fill="F5F5F5"/>
            <w:tcMar>
              <w:top w:w="85" w:type="dxa"/>
              <w:left w:w="85" w:type="dxa"/>
              <w:bottom w:w="85" w:type="dxa"/>
              <w:right w:w="85" w:type="dxa"/>
            </w:tcMar>
          </w:tcPr>
          <w:p>
            <w:pPr>
              <w:spacing w:after="20" w:before="20" w:line="245" w:lineRule="auto"/>
            </w:pPr>
            <w:r>
              <w:rPr>
                <w:b w:val="0"/>
                <w:sz w:val="20"/>
                <w:color w:val="242021"/>
              </w:rPr>
              <w:t>Contraste de campos, faltantes, reglas y evidencia con el conjunto de referencia aprobado; documentos ilegibles o inciertos requieren revisión.</w:t>
            </w:r>
          </w:p>
        </w:tc>
      </w:tr>
      <w:tr>
        <w:trPr>
          <w:cantSplit/>
        </w:trPr>
        <w:tc>
          <w:tcPr>
            <w:tcW w:type="dxa" w:w="2271"/>
            <w:vAlign w:val="center"/>
            <w:shd w:fill="FFFFFF"/>
            <w:tcMar>
              <w:top w:w="85" w:type="dxa"/>
              <w:left w:w="85" w:type="dxa"/>
              <w:bottom w:w="85" w:type="dxa"/>
              <w:right w:w="85" w:type="dxa"/>
            </w:tcMar>
          </w:tcPr>
          <w:p>
            <w:pPr>
              <w:spacing w:after="20" w:before="20" w:line="245" w:lineRule="auto"/>
            </w:pPr>
            <w:r>
              <w:rPr>
                <w:b w:val="0"/>
                <w:sz w:val="20"/>
                <w:color w:val="242021"/>
              </w:rPr>
              <w:t>Autoadministración</w:t>
            </w:r>
          </w:p>
        </w:tc>
        <w:tc>
          <w:tcPr>
            <w:tcW w:type="dxa" w:w="7665"/>
            <w:vAlign w:val="center"/>
            <w:shd w:fill="FFFFFF"/>
            <w:tcMar>
              <w:top w:w="85" w:type="dxa"/>
              <w:left w:w="85" w:type="dxa"/>
              <w:bottom w:w="85" w:type="dxa"/>
              <w:right w:w="85" w:type="dxa"/>
            </w:tcMar>
          </w:tcPr>
          <w:p>
            <w:pPr>
              <w:spacing w:after="20" w:before="20" w:line="245" w:lineRule="auto"/>
            </w:pPr>
            <w:r>
              <w:rPr>
                <w:b w:val="0"/>
                <w:sz w:val="20"/>
                <w:color w:val="242021"/>
              </w:rPr>
              <w:t>Un usuario autorizado modifica una regla, la prueba y publica desde el portal; un nuevo análisis la aplica y el anterior conserva su versión.</w:t>
            </w:r>
          </w:p>
        </w:tc>
      </w:tr>
      <w:tr>
        <w:trPr>
          <w:cantSplit/>
        </w:trPr>
        <w:tc>
          <w:tcPr>
            <w:tcW w:type="dxa" w:w="2271"/>
            <w:vAlign w:val="center"/>
            <w:shd w:fill="F5F5F5"/>
            <w:tcMar>
              <w:top w:w="85" w:type="dxa"/>
              <w:left w:w="85" w:type="dxa"/>
              <w:bottom w:w="85" w:type="dxa"/>
              <w:right w:w="85" w:type="dxa"/>
            </w:tcMar>
          </w:tcPr>
          <w:p>
            <w:pPr>
              <w:spacing w:after="20" w:before="20" w:line="245" w:lineRule="auto"/>
            </w:pPr>
            <w:r>
              <w:rPr>
                <w:b w:val="0"/>
                <w:sz w:val="20"/>
                <w:color w:val="242021"/>
              </w:rPr>
              <w:t>Permisos y auditoría</w:t>
            </w:r>
          </w:p>
        </w:tc>
        <w:tc>
          <w:tcPr>
            <w:tcW w:type="dxa" w:w="7665"/>
            <w:vAlign w:val="center"/>
            <w:shd w:fill="F5F5F5"/>
            <w:tcMar>
              <w:top w:w="85" w:type="dxa"/>
              <w:left w:w="85" w:type="dxa"/>
              <w:bottom w:w="85" w:type="dxa"/>
              <w:right w:w="85" w:type="dxa"/>
            </w:tcMar>
          </w:tcPr>
          <w:p>
            <w:pPr>
              <w:spacing w:after="20" w:before="20" w:line="245" w:lineRule="auto"/>
            </w:pPr>
            <w:r>
              <w:rPr>
                <w:b w:val="0"/>
                <w:sz w:val="20"/>
                <w:color w:val="242021"/>
              </w:rPr>
              <w:t>Se bloquean acciones sin permiso y se registran edición, publicación y reproceso con usuario y fecha.</w:t>
            </w:r>
          </w:p>
        </w:tc>
      </w:tr>
      <w:tr>
        <w:trPr>
          <w:cantSplit/>
        </w:trPr>
        <w:tc>
          <w:tcPr>
            <w:tcW w:type="dxa" w:w="2271"/>
            <w:vAlign w:val="center"/>
            <w:shd w:fill="FFFFFF"/>
            <w:tcMar>
              <w:top w:w="85" w:type="dxa"/>
              <w:left w:w="85" w:type="dxa"/>
              <w:bottom w:w="85" w:type="dxa"/>
              <w:right w:w="85" w:type="dxa"/>
            </w:tcMar>
          </w:tcPr>
          <w:p>
            <w:pPr>
              <w:spacing w:after="20" w:before="20" w:line="245" w:lineRule="auto"/>
            </w:pPr>
            <w:r>
              <w:rPr>
                <w:b w:val="0"/>
                <w:sz w:val="20"/>
                <w:color w:val="242021"/>
              </w:rPr>
              <w:t>Errores y recuperación</w:t>
            </w:r>
          </w:p>
        </w:tc>
        <w:tc>
          <w:tcPr>
            <w:tcW w:type="dxa" w:w="7665"/>
            <w:vAlign w:val="center"/>
            <w:shd w:fill="FFFFFF"/>
            <w:tcMar>
              <w:top w:w="85" w:type="dxa"/>
              <w:left w:w="85" w:type="dxa"/>
              <w:bottom w:w="85" w:type="dxa"/>
              <w:right w:w="85" w:type="dxa"/>
            </w:tcMar>
          </w:tcPr>
          <w:p>
            <w:pPr>
              <w:spacing w:after="20" w:before="20" w:line="245" w:lineRule="auto"/>
            </w:pPr>
            <w:r>
              <w:rPr>
                <w:b w:val="0"/>
                <w:sz w:val="20"/>
                <w:color w:val="242021"/>
              </w:rPr>
              <w:t>Duplicados, caída de Gemini, archivos inválidos y reintentos no producen aprobación implícita ni resultados asociados a otro expediente.</w:t>
            </w:r>
          </w:p>
        </w:tc>
      </w:tr>
      <w:tr>
        <w:trPr>
          <w:cantSplit/>
        </w:trPr>
        <w:tc>
          <w:tcPr>
            <w:tcW w:type="dxa" w:w="2271"/>
            <w:vAlign w:val="center"/>
            <w:shd w:fill="F5F5F5"/>
            <w:tcMar>
              <w:top w:w="85" w:type="dxa"/>
              <w:left w:w="85" w:type="dxa"/>
              <w:bottom w:w="85" w:type="dxa"/>
              <w:right w:w="85" w:type="dxa"/>
            </w:tcMar>
          </w:tcPr>
          <w:p>
            <w:pPr>
              <w:spacing w:after="20" w:before="20" w:line="245" w:lineRule="auto"/>
            </w:pPr>
            <w:r>
              <w:rPr>
                <w:b w:val="0"/>
                <w:sz w:val="20"/>
                <w:color w:val="242021"/>
              </w:rPr>
              <w:t>Operación</w:t>
            </w:r>
          </w:p>
        </w:tc>
        <w:tc>
          <w:tcPr>
            <w:tcW w:type="dxa" w:w="7665"/>
            <w:vAlign w:val="center"/>
            <w:shd w:fill="F5F5F5"/>
            <w:tcMar>
              <w:top w:w="85" w:type="dxa"/>
              <w:left w:w="85" w:type="dxa"/>
              <w:bottom w:w="85" w:type="dxa"/>
              <w:right w:w="85" w:type="dxa"/>
            </w:tcMar>
          </w:tcPr>
          <w:p>
            <w:pPr>
              <w:spacing w:after="20" w:before="20" w:line="245" w:lineRule="auto"/>
            </w:pPr>
            <w:r>
              <w:rPr>
                <w:b w:val="0"/>
                <w:sz w:val="20"/>
                <w:color w:val="242021"/>
              </w:rPr>
              <w:t>Instalación verificada, documentación entregada y prueba conjunta de respaldo y recuperación conforme al acta técnica.</w:t>
            </w:r>
          </w:p>
        </w:tc>
      </w:tr>
    </w:tbl>
    <w:p/>
    <w:p>
      <w:r>
        <w:t>En semana 1 se precisarán datos, resultados esperados y umbrales medibles de calidad y rendimiento. La evaluación de IA utilizará casos representativos con validación humana; no se exige coincidencia literal de redacción entre ejecuciones.</w:t>
      </w:r>
    </w:p>
    <w:p>
      <w:r>
        <w:br w:type="page"/>
      </w:r>
    </w:p>
    <w:p>
      <w:pPr>
        <w:pStyle w:val="Heading1"/>
      </w:pPr>
      <w:r>
        <w:t>8 Aceptación garantía y soporte</w:t>
      </w:r>
    </w:p>
    <w:p>
      <w:pPr>
        <w:pStyle w:val="Heading2"/>
      </w:pPr>
      <w:r>
        <w:t>Procedimiento de aceptación</w:t>
      </w:r>
    </w:p>
    <w:p>
      <w:r>
        <w:t>Al completar la entrega, MACAO notificará la versión, el acceso al ambiente, los resultados de pruebas y la documentación. AFP Occidente tendrá cinco días hábiles para aceptar o identificar incumplimientos materiales concretos frente a los criterios acordados.</w:t>
      </w:r>
    </w:p>
    <w:p>
      <w:r>
        <w:t>Un defecto material impide un proceso esencial, vulnera un criterio de seguridad acordado o compromete la integridad de los datos. MACAO corregirá sin cargo los defectos de su alcance y se abrirá una nueva revisión de cinco días hábiles sobre la corrección y sus efectos. Los pendientes menores se registrarán con responsable y fecha, sin bloquear por sí solos la aceptación.</w:t>
      </w:r>
    </w:p>
    <w:p>
      <w:r>
        <w:t>Si no existen observaciones materiales dentro del plazo, MACAO enviará un recordatorio y otorgará dos días hábiles adicionales. Si persiste la ausencia de observaciones, documentará la aceptación con evidencia de entrega y notificación. Este mecanismo no opera si el cliente no pudo acceder al ambiente por causa atribuible a MACAO.</w:t>
      </w:r>
    </w:p>
    <w:p>
      <w:r>
        <w:t>La aceptación expresa o documentada mediante este procedimiento habilita el segundo pago. No se condicionará el cierre a mejoras ajenas al alcance. Un bloqueo externo se documentará y gestionará según la sección 6; no se presentará una prueba aislada como aceptación integral.</w:t>
      </w:r>
    </w:p>
    <w:p>
      <w:pPr>
        <w:pStyle w:val="Heading2"/>
      </w:pPr>
      <w:r>
        <w:t>Garantía correctiva</w:t>
      </w:r>
    </w:p>
    <w:p>
      <w:r>
        <w:t>Se incluyen treinta días calendario desde la aceptación final para corregir defectos reproducibles que incumplan el alcance aprobado. Los defectos reportados dentro de ese período se atenderán sin cargo aunque su resolución ocurra después. El diagnóstico necesario de un defecto cubierto tampoco se factura.</w:t>
      </w:r>
    </w:p>
    <w:p>
      <w:r>
        <w:t>No incluye nuevas funciones, capacitación adicional ni cambios de reglas. Incidentes por terceros, datos incorrectos o modificaciones ajenas se excluyen únicamente cuando exista relación causal comprobable; ello no libera a MACAO de sus propios errores. La garantía no equivale a soporte ilimitado ni atención 24/7.</w:t>
      </w:r>
    </w:p>
    <w:p>
      <w:pPr>
        <w:pStyle w:val="Heading2"/>
      </w:pPr>
      <w:r>
        <w:t>Soporte posterior opcional</w:t>
      </w:r>
    </w:p>
    <w:p>
      <w:r>
        <w:t>Soporte del motor, portal e integración a demanda: L 1,500 más ISV por hora, con autorización previa de estimación y tope. Mínimo de una hora por solicitud independiente y luego fracciones de treinta minutos, sin reiniciar el mínimo por seguimientos del mismo incidente. Se factura el tiempo utilizado con registro de trabajo.</w:t>
      </w:r>
    </w:p>
    <w:p>
      <w:r>
        <w:t>Horario: lunes a viernes de 8:00 a. m. a 5:00 p. m., hora de Honduras, excepto feriados; programación según diagnóstico. Atención presencial o fuera de horario se cotiza aparte. Facturas pagaderas en quince días calendario. La tarifa conserva una vigencia de doce meses desde la firma; cambios posteriores requieren aviso y acuerdo escrito.</w:t>
      </w:r>
    </w:p>
    <w:p>
      <w:r>
        <w:t>IT del banco administrará servidores, base de datos, red, respaldos, APEX y credenciales. MACAO entregará instrucciones operativas y atenderá su componente bajo garantía o soporte contratado. No se incluyen alojamiento AWS, administración mensual de infraestructura ni migración al finalizar una cortesía.</w:t>
      </w:r>
    </w:p>
    <w:p>
      <w:r>
        <w:br w:type="page"/>
      </w:r>
    </w:p>
    <w:p>
      <w:pPr>
        <w:pStyle w:val="Heading1"/>
      </w:pPr>
      <w:r>
        <w:t>9 Condiciones y formalización</w:t>
      </w:r>
    </w:p>
    <w:p>
      <w:pPr>
        <w:pStyle w:val="Heading2"/>
      </w:pPr>
      <w:r>
        <w:t>Límites de la inversión</w:t>
      </w:r>
    </w:p>
    <w:p>
      <w:r>
        <w:t>La inversión incluye los componentes MACAO descritos, su adaptación inicial al ambiente acordado y una integración con APEX. Quedan fuera la construcción o mantenimiento de APEX, integración directa al sistema central, correo operativo, captura móvil o QR y formularios del banco; estos frentes corresponden a IT si forman parte de su proceso.</w:t>
      </w:r>
    </w:p>
    <w:p>
      <w:r>
        <w:t>Se excluyen migración masiva de históricos, digitación o depuración, biometría, firma electrónica, certificación de autenticidad, integraciones con burós u otros terceros, entrenamiento de modelos propios, diseñador genérico de reglas o APIs, alta disponibilidad, operación 24/7 y pruebas de penetración por terceros. El banco provee licencias, infraestructura, almacenamiento y consumo de Gemini. Viajes o sesiones adicionales fuera de lo acordado se cotizan aparte.</w:t>
      </w:r>
    </w:p>
    <w:p>
      <w:pPr>
        <w:pStyle w:val="Heading2"/>
      </w:pPr>
      <w:r>
        <w:t>Derecho de uso y código fuente opcional</w:t>
      </w:r>
    </w:p>
    <w:p>
      <w:r>
        <w:t>El precio base incluye derecho de uso interno de la versión desplegada y pagada, documentación de integración y paquete operativo. La autoadministración desde el portal no requiere comprar el código fuente.</w:t>
      </w:r>
    </w:p>
    <w:p>
      <w:r>
        <w:t>Se conserva como opción independiente la entrega del código fuente por L 55,000 más ISV: copia de la versión aceptada, esquema y migraciones, arquitectura, dependencias, documentación técnica y una sesión de transferencia de hasta cuatro horas. Pago 50% al activar y 50% antes de entregar. Incluye derechos de mantenimiento y modificación para uso propio, sin comercialización ni cesión exclusiva de componentes reutilizables; excluye secretos y derechos no transferibles.</w:t>
      </w:r>
    </w:p>
    <w:p>
      <w:pPr>
        <w:pStyle w:val="Heading2"/>
      </w:pPr>
      <w:r>
        <w:t>Formalización del nuevo alcance</w:t>
      </w:r>
    </w:p>
    <w:p>
      <w:r>
        <w:t>Esta versión se presenta para aceptación e incorporación como Anexo A mediante el instrumento contractual correspondiente. Al formalizarse, sustituirá las condiciones anteriores de precio, alcance, alojamiento y migración que resulten incompatibles con este esquema. Su emisión no modifica por sí sola un contrato vigente.</w:t>
      </w:r>
    </w:p>
    <w:p>
      <w:r>
        <w:t>El acta técnica y operativa recogerá la capacidad, los accesos, los proveedores autorizados, las políticas de recuperación, la matriz de alcance y las pruebas de aceptación. El acta de inicio identificará a los responsables de MACAO, IT y AFP Occidente. Los acuerdos técnicos no modificarán precio ni alcance sin aprobación escrita.</w:t>
      </w:r>
    </w:p>
    <w:p>
      <w:r>
        <w:t>Vigencia comercial de esta propuesta: quince días calendario desde su emisión. Inversión total de desarrollo e implementación: L 170,000 más ISV, con dos pagos base de L 85,000.</w:t>
      </w:r>
    </w:p>
    <w:p>
      <w:pPr>
        <w:pStyle w:val="Heading2"/>
      </w:pPr>
      <w:r>
        <w:t>Conformidad de las partes</w:t>
      </w:r>
    </w:p>
    <w:p>
      <w:r>
        <w:t>MACAO Solutions S. de R.L.</w:t>
        <w:br/>
        <w:t>Representante y cargo: ______________________________________________</w:t>
        <w:br/>
        <w:t>Firma: __________________________  Fecha: __________________________</w:t>
      </w:r>
    </w:p>
    <w:p>
      <w:r>
        <w:t>AFP Occidente</w:t>
        <w:br/>
        <w:t>Representante y cargo: ______________________________________________</w:t>
        <w:br/>
        <w:t>Firma: __________________________  Fecha: __________________________</w:t>
      </w:r>
    </w:p>
    <w:sectPr w:rsidR="00FC693F" w:rsidRPr="0006063C" w:rsidSect="00034616">
      <w:headerReference w:type="default" r:id="rId9"/>
      <w:footerReference w:type="default" r:id="rId10"/>
      <w:pgSz w:w="12240" w:h="15840"/>
      <w:pgMar w:top="1584" w:right="1152" w:bottom="979" w:left="1152" w:header="34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spacing w:before="0" w:after="0"/>
      <w:jc w:val="left"/>
      <w:pBdr>
        <w:top w:val="single" w:sz="4" w:space="7" w:color="D9D9D9"/>
      </w:pBdr>
    </w:pPr>
    <w:r>
      <w:rPr>
        <w:rFonts w:ascii="Calibri" w:hAnsi="Calibri"/>
        <w:color w:val="666666"/>
        <w:sz w:val="16"/>
      </w:rPr>
      <w:t>PROP AFP 2026 001  |  v2.0</w:t>
    </w:r>
    <w:r>
      <w:rPr>
        <w:rFonts w:ascii="Calibri" w:hAnsi="Calibri"/>
        <w:color w:val="666666"/>
        <w:sz w:val="16"/>
      </w:rPr>
      <w:tab/>
    </w:r>
    <w:fldSimple w:instr="PAGE">
      <w:r>
        <w:rPr>
          <w:sz w:val="16"/>
          <w:color w:val="666666"/>
        </w:rPr>
        <w:t>1</w:t>
      </w:r>
    </w:fldSimple>
    <w:r>
      <w:rPr>
        <w:rFonts w:ascii="Calibri" w:hAnsi="Calibri"/>
        <w:color w:val="666666"/>
        <w:sz w:val="16"/>
      </w:rPr>
      <w:t xml:space="preserve"> / </w:t>
    </w:r>
    <w:fldSimple w:instr="NUMPAGES">
      <w:r>
        <w:rPr>
          <w:sz w:val="16"/>
          <w:color w:val="66666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9" w:val="left"/>
        <w:tab w:pos="9936" w:val="right"/>
      </w:tabs>
      <w:spacing w:before="0" w:after="0" w:line="240" w:lineRule="auto"/>
      <w:pBdr>
        <w:bottom w:val="single" w:sz="8" w:space="5" w:color="FF0006"/>
      </w:pBdr>
    </w:pPr>
    <w:r>
      <w:drawing>
        <wp:inline xmlns:a="http://schemas.openxmlformats.org/drawingml/2006/main" xmlns:pic="http://schemas.openxmlformats.org/drawingml/2006/picture">
          <wp:extent cx="366677" cy="457200"/>
          <wp:docPr id="1" name="Picture 1" descr="MACAO Solutions"/>
          <wp:cNvGraphicFramePr>
            <a:graphicFrameLocks noChangeAspect="1"/>
          </wp:cNvGraphicFramePr>
          <a:graphic>
            <a:graphicData uri="http://schemas.openxmlformats.org/drawingml/2006/picture">
              <pic:pic>
                <pic:nvPicPr>
                  <pic:cNvPr id="0" name="LogoMACAO.png"/>
                  <pic:cNvPicPr/>
                </pic:nvPicPr>
                <pic:blipFill>
                  <a:blip r:embed="rId1"/>
                  <a:stretch>
                    <a:fillRect/>
                  </a:stretch>
                </pic:blipFill>
                <pic:spPr>
                  <a:xfrm>
                    <a:off x="0" y="0"/>
                    <a:ext cx="366677" cy="457200"/>
                  </a:xfrm>
                  <a:prstGeom prst="rect"/>
                </pic:spPr>
              </pic:pic>
            </a:graphicData>
          </a:graphic>
        </wp:inline>
      </w:drawing>
    </w:r>
    <w:r>
      <w:rPr>
        <w:rFonts w:ascii="Calibri" w:hAnsi="Calibri"/>
        <w:b/>
        <w:color w:val="000000"/>
        <w:sz w:val="18"/>
        <w:position w:val="19"/>
      </w:rPr>
      <w:tab/>
      <w:t>MACAO Solutions S. de R.L.</w:t>
    </w:r>
    <w:r>
      <w:tab/>
    </w:r>
    <w:r>
      <w:drawing>
        <wp:inline xmlns:a="http://schemas.openxmlformats.org/drawingml/2006/main" xmlns:pic="http://schemas.openxmlformats.org/drawingml/2006/picture">
          <wp:extent cx="1389888" cy="551817"/>
          <wp:docPr id="2" name="Picture 2" descr="AFP Occidente"/>
          <wp:cNvGraphicFramePr>
            <a:graphicFrameLocks noChangeAspect="1"/>
          </wp:cNvGraphicFramePr>
          <a:graphic>
            <a:graphicData uri="http://schemas.openxmlformats.org/drawingml/2006/picture">
              <pic:pic>
                <pic:nvPicPr>
                  <pic:cNvPr id="0" name="afpc-occidente-logo.png"/>
                  <pic:cNvPicPr/>
                </pic:nvPicPr>
                <pic:blipFill>
                  <a:blip r:embed="rId2"/>
                  <a:stretch>
                    <a:fillRect/>
                  </a:stretch>
                </pic:blipFill>
                <pic:spPr>
                  <a:xfrm>
                    <a:off x="0" y="0"/>
                    <a:ext cx="1389888" cy="5518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Calibri" w:hAnsi="Calibri"/>
      <w:color w:val="242021"/>
      <w:sz w:val="22"/>
      <w:lang w:val="es-HN"/>
    </w:rPr>
  </w:style>
  <w:style w:type="paragraph" w:styleId="Header">
    <w:name w:val="header"/>
    <w:basedOn w:val="Normal"/>
    <w:link w:val="HeaderChar"/>
    <w:uiPriority w:val="99"/>
    <w:unhideWhenUsed/>
    <w:rsid w:val="00E618BF"/>
    <w:pPr>
      <w:spacing w:after="0" w:line="240" w:lineRule="auto"/>
    </w:pPr>
    <w:rPr>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line="257"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40" w:line="257"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7" w:lineRule="auto" w:before="0"/>
      <w:contextualSpacing/>
    </w:pPr>
    <w:rPr>
      <w:rFonts w:asciiTheme="majorHAnsi" w:eastAsiaTheme="majorEastAsia" w:hAnsiTheme="majorHAnsi" w:cstheme="majorBidi" w:ascii="Calibri" w:hAnsi="Calibri"/>
      <w:b/>
      <w:color w:val="000000"/>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after="120" w:line="257" w:lineRule="auto"/>
    </w:pPr>
    <w:rPr>
      <w:rFonts w:asciiTheme="majorHAnsi" w:eastAsiaTheme="majorEastAsia" w:hAnsiTheme="majorHAnsi" w:cstheme="majorBidi" w:ascii="Calibri" w:hAnsi="Calibri"/>
      <w:i w:val="0"/>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4"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motor de análisis y portal administrativo para AFP Occidente</dc:title>
  <dc:subject>Integración con Oracle APEX e implementación en infraestructura del banco</dc:subject>
  <dc:creator>MACAO Solutions S. de R.L.</dc:creator>
  <cp:keywords/>
  <dc:description>generated by python-docx</dc:description>
  <cp:lastModifiedBy/>
  <cp:revision>1</cp:revision>
  <dcterms:created xsi:type="dcterms:W3CDTF">2013-12-23T23:15:00Z</dcterms:created>
  <dcterms:modified xsi:type="dcterms:W3CDTF">2013-12-23T23:15:00Z</dcterms:modified>
  <cp:category/>
</cp:coreProperties>
</file>