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color w:val="000000"/>
          <w:sz w:val="46"/>
        </w:rPr>
        <w:t>Contrato de desarrollo e implementación de software</w:t>
      </w:r>
    </w:p>
    <w:p>
      <w:pPr>
        <w:pStyle w:val="Subtitle"/>
      </w:pPr>
      <w:r>
        <w:rPr>
          <w:i w:val="0"/>
          <w:color w:val="000000"/>
        </w:rPr>
        <w:t>Licencia de uso y condiciones de continuidad operativa</w:t>
      </w:r>
    </w:p>
    <w:p>
      <w:r>
        <w:rPr>
          <w:b/>
          <w:color w:val="242021"/>
        </w:rPr>
        <w:t>Mesa de Control de Afiliaciones para AFP Occidente</w:t>
      </w:r>
    </w:p>
    <w:p>
      <w:pPr>
        <w:spacing w:after="200"/>
      </w:pPr>
      <w:r>
        <w:rPr>
          <w:rFonts w:ascii="Calibri" w:hAnsi="Calibri"/>
          <w:b w:val="0"/>
          <w:color w:val="666666"/>
          <w:sz w:val="18"/>
        </w:rPr>
        <w:t>8 de septiembre de 2026 | Versión 1.0</w:t>
      </w:r>
    </w:p>
    <w:p>
      <w:r>
        <w:rPr>
          <w:b w:val="0"/>
          <w:color w:val="242021"/>
        </w:rPr>
        <w:t>Este contrato establece las condiciones para el desarrollo e implementación de la Mesa de Control de Afiliaciones de AFP Occidente, incluyendo la ejecución del proyecto, la licencia de uso, la entrega, la garantía y la continuidad operativa.</w:t>
      </w:r>
    </w:p>
    <w:p>
      <w:pPr>
        <w:pStyle w:val="Heading2"/>
      </w:pPr>
      <w:r>
        <w:rPr>
          <w:color w:val="000000"/>
        </w:rPr>
        <w:t>1 Comparecencia</w:t>
      </w:r>
    </w:p>
    <w:p>
      <w:r>
        <w:rPr>
          <w:b w:val="0"/>
          <w:color w:val="242021"/>
        </w:rPr>
        <w:t>Comparecen MACAO Solutions S. de R.L., con RTN 08019025155099, domicilio en Residencial Villa Toscana, Bloque D casa 12, Distrito Central, Francisco Morazán, constituida mediante contrato societario de fecha 17 de febrero de 2025 e inscrita el 24 de febrero de 2025 en el Registro Mercantil de Francisco Morazán, bajo matrícula 2617913 e inscripción 96554 del Libro de Comerciantes Sociales, representada por Carlos Arturo Caceres Zepeda, en su carácter de Gerente General, cuyo nombramiento y facultades para celebrar contratos constan en la cláusula 10 del referido contrato societario, en adelante MACAO; y ____________________, identificada comercialmente como AFP Occidente, con RTN ____________________, domicilio en ____________________, representada por ____________________, en su carácter de ____________________, con facultades acreditadas mediante ____________________, en adelante AFP Occidente o el Cliente.</w:t>
      </w:r>
    </w:p>
    <w:p>
      <w:pPr>
        <w:pStyle w:val="Heading2"/>
      </w:pPr>
      <w:r>
        <w:rPr>
          <w:color w:val="000000"/>
        </w:rPr>
        <w:t>2 Objeto del contrato</w:t>
      </w:r>
    </w:p>
    <w:p>
      <w:r>
        <w:rPr>
          <w:b w:val="0"/>
          <w:color w:val="242021"/>
        </w:rPr>
        <w:t>MACAO Solutions S. de R.L. y AFP Occidente acuerdan desarrollar e implementar una solución que facilite la recepción, revisión y seguimiento de las solicitudes de afiliación. El alcance técnico se describe en el Anexo A y las condiciones económicas se detallan en la cláusula 4.</w:t>
      </w:r>
    </w:p>
    <w:p>
      <w:r>
        <w:rPr>
          <w:b w:val="0"/>
          <w:color w:val="242021"/>
        </w:rPr>
        <w:t>MACAO desarrollará e implementará la Mesa de Control de Afiliaciones conforme al Anexo A. El objeto comprende los entregables allí descritos, capacitación, licencia de uso, garantía, seis meses de alojamiento de cortesía y una migración inicial bajo las condiciones siguientes. El soporte periódico y el repositorio fuente son opcionales.</w:t>
      </w:r>
    </w:p>
    <w:p>
      <w:pPr>
        <w:pStyle w:val="Heading2"/>
      </w:pPr>
      <w:r>
        <w:rPr>
          <w:color w:val="000000"/>
        </w:rPr>
        <w:t>3 Documentos y prelación</w:t>
      </w:r>
    </w:p>
    <w:p>
      <w:r>
        <w:rPr>
          <w:b w:val="0"/>
          <w:color w:val="242021"/>
        </w:rPr>
        <w:t>Integran el contrato el Anexo A, Propuesta de formalización versión 1.6 del 8 de septiembre de 2026, y el Anexo B técnico y operativo, cuya ficha se incorpora al final de este documento. Prevalecen las adendas posteriores firmadas respecto de lo que modifiquen expresamente; después, este contrato, el Anexo A y el Anexo B. Una orden de compra o acta técnica no altera estas condiciones salvo aceptación expresa de ambas partes.</w:t>
      </w:r>
    </w:p>
    <w:p>
      <w:pPr>
        <w:spacing w:line="20" w:lineRule="exact" w:before="0" w:after="0"/>
      </w:pPr>
      <w:r>
        <w:rPr>
          <w:color w:val="242021"/>
          <w:sz w:val="2"/>
        </w:rPr>
        <w:br w:type="page"/>
      </w:r>
    </w:p>
    <w:p>
      <w:pPr>
        <w:pStyle w:val="Heading1"/>
      </w:pPr>
      <w:r>
        <w:rPr>
          <w:color w:val="000000"/>
        </w:rPr>
        <w:t>4 Precio y forma de pago</w:t>
      </w:r>
    </w:p>
    <w:tbl>
      <w:tblPr>
        <w:tblW w:type="auto" w:w="0"/>
        <w:jc w:val="center"/>
        <w:tblLayout w:type="fixed"/>
        <w:tblLook w:firstColumn="1" w:firstRow="1" w:lastColumn="0" w:lastRow="0" w:noHBand="0" w:noVBand="1" w:val="04A0"/>
        <w:tblCellMar>
          <w:top w:w="90" w:type="dxa"/>
          <w:left w:w="90" w:type="dxa"/>
          <w:bottom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2016"/>
        <w:gridCol w:w="1944"/>
        <w:gridCol w:w="2376"/>
      </w:tblGrid>
      <w:tr>
        <w:trPr>
          <w:cantSplit/>
          <w:tblHeader/>
        </w:trPr>
        <w:tc>
          <w:tcPr>
            <w:tcW w:type="dxa" w:w="3600"/>
            <w:vAlign w:val="center"/>
            <w:shd w:fill="242021"/>
            <w:tcBorders>
              <w:bottom w:val="single" w:sz="8" w:color="FF0006"/>
            </w:tcBorders>
          </w:tcPr>
          <w:p>
            <w:pPr>
              <w:spacing w:after="20" w:before="20" w:line="245" w:lineRule="auto"/>
            </w:pPr>
            <w:r>
              <w:rPr>
                <w:b/>
                <w:color w:val="FFFFFF"/>
                <w:sz w:val="20"/>
              </w:rPr>
              <w:t>Hito</w:t>
            </w:r>
          </w:p>
        </w:tc>
        <w:tc>
          <w:tcPr>
            <w:tcW w:type="dxa" w:w="2016"/>
            <w:vAlign w:val="center"/>
            <w:shd w:fill="242021"/>
            <w:tcBorders>
              <w:bottom w:val="single" w:sz="8" w:color="FF0006"/>
            </w:tcBorders>
          </w:tcPr>
          <w:p>
            <w:pPr>
              <w:spacing w:after="20" w:before="20" w:line="245" w:lineRule="auto"/>
            </w:pPr>
            <w:r>
              <w:rPr>
                <w:b/>
                <w:color w:val="FFFFFF"/>
                <w:sz w:val="20"/>
              </w:rPr>
              <w:t>Base</w:t>
            </w:r>
          </w:p>
        </w:tc>
        <w:tc>
          <w:tcPr>
            <w:tcW w:type="dxa" w:w="1944"/>
            <w:vAlign w:val="center"/>
            <w:shd w:fill="242021"/>
            <w:tcBorders>
              <w:bottom w:val="single" w:sz="8" w:color="FF0006"/>
            </w:tcBorders>
          </w:tcPr>
          <w:p>
            <w:pPr>
              <w:spacing w:after="20" w:before="20" w:line="245" w:lineRule="auto"/>
            </w:pPr>
            <w:r>
              <w:rPr>
                <w:b/>
                <w:color w:val="FFFFFF"/>
                <w:sz w:val="20"/>
              </w:rPr>
              <w:t>ISV 15%</w:t>
            </w:r>
          </w:p>
        </w:tc>
        <w:tc>
          <w:tcPr>
            <w:tcW w:type="dxa" w:w="2376"/>
            <w:vAlign w:val="center"/>
            <w:shd w:fill="242021"/>
            <w:tcBorders>
              <w:bottom w:val="single" w:sz="8" w:color="FF0006"/>
            </w:tcBorders>
          </w:tcPr>
          <w:p>
            <w:pPr>
              <w:spacing w:after="20" w:before="20" w:line="245" w:lineRule="auto"/>
            </w:pPr>
            <w:r>
              <w:rPr>
                <w:b/>
                <w:color w:val="FFFFFF"/>
                <w:sz w:val="20"/>
              </w:rPr>
              <w:t>Total</w:t>
            </w:r>
          </w:p>
        </w:tc>
      </w:tr>
      <w:tr>
        <w:trPr>
          <w:cantSplit/>
        </w:trPr>
        <w:tc>
          <w:tcPr>
            <w:tcW w:type="dxa" w:w="3600"/>
            <w:vAlign w:val="center"/>
            <w:shd w:fill="FFFFFF"/>
          </w:tcPr>
          <w:p>
            <w:pPr>
              <w:spacing w:after="20" w:before="20" w:line="245" w:lineRule="auto"/>
            </w:pPr>
            <w:r>
              <w:rPr>
                <w:b w:val="0"/>
                <w:color w:val="242021"/>
                <w:sz w:val="20"/>
              </w:rPr>
              <w:t>Formalización y arranque</w:t>
            </w:r>
          </w:p>
        </w:tc>
        <w:tc>
          <w:tcPr>
            <w:tcW w:type="dxa" w:w="2016"/>
            <w:vAlign w:val="center"/>
            <w:shd w:fill="FFFFFF"/>
          </w:tcPr>
          <w:p>
            <w:pPr>
              <w:spacing w:after="20" w:before="20" w:line="245" w:lineRule="auto"/>
              <w:jc w:val="right"/>
            </w:pPr>
            <w:r>
              <w:rPr>
                <w:b w:val="0"/>
                <w:color w:val="242021"/>
                <w:sz w:val="20"/>
              </w:rPr>
              <w:t>L 95,000</w:t>
            </w:r>
          </w:p>
        </w:tc>
        <w:tc>
          <w:tcPr>
            <w:tcW w:type="dxa" w:w="1944"/>
            <w:vAlign w:val="center"/>
            <w:shd w:fill="FFFFFF"/>
          </w:tcPr>
          <w:p>
            <w:pPr>
              <w:spacing w:after="20" w:before="20" w:line="245" w:lineRule="auto"/>
              <w:jc w:val="right"/>
            </w:pPr>
            <w:r>
              <w:rPr>
                <w:b w:val="0"/>
                <w:color w:val="242021"/>
                <w:sz w:val="20"/>
              </w:rPr>
              <w:t>L 14,250</w:t>
            </w:r>
          </w:p>
        </w:tc>
        <w:tc>
          <w:tcPr>
            <w:tcW w:type="dxa" w:w="2376"/>
            <w:vAlign w:val="center"/>
            <w:shd w:fill="FFFFFF"/>
          </w:tcPr>
          <w:p>
            <w:pPr>
              <w:spacing w:after="20" w:before="20" w:line="245" w:lineRule="auto"/>
              <w:jc w:val="right"/>
            </w:pPr>
            <w:r>
              <w:rPr>
                <w:b w:val="0"/>
                <w:color w:val="242021"/>
                <w:sz w:val="20"/>
              </w:rPr>
              <w:t>L 109,250</w:t>
            </w:r>
          </w:p>
        </w:tc>
      </w:tr>
      <w:tr>
        <w:trPr>
          <w:cantSplit/>
        </w:trPr>
        <w:tc>
          <w:tcPr>
            <w:tcW w:type="dxa" w:w="3600"/>
            <w:vAlign w:val="center"/>
            <w:shd w:fill="F5F5F5"/>
          </w:tcPr>
          <w:p>
            <w:pPr>
              <w:spacing w:after="20" w:before="20" w:line="245" w:lineRule="auto"/>
            </w:pPr>
            <w:r>
              <w:rPr>
                <w:b w:val="0"/>
                <w:color w:val="242021"/>
                <w:sz w:val="20"/>
              </w:rPr>
              <w:t>Aceptación final</w:t>
            </w:r>
          </w:p>
        </w:tc>
        <w:tc>
          <w:tcPr>
            <w:tcW w:type="dxa" w:w="2016"/>
            <w:vAlign w:val="center"/>
            <w:shd w:fill="F5F5F5"/>
          </w:tcPr>
          <w:p>
            <w:pPr>
              <w:spacing w:after="20" w:before="20" w:line="245" w:lineRule="auto"/>
              <w:jc w:val="right"/>
            </w:pPr>
            <w:r>
              <w:rPr>
                <w:b w:val="0"/>
                <w:color w:val="242021"/>
                <w:sz w:val="20"/>
              </w:rPr>
              <w:t>L 95,000</w:t>
            </w:r>
          </w:p>
        </w:tc>
        <w:tc>
          <w:tcPr>
            <w:tcW w:type="dxa" w:w="1944"/>
            <w:vAlign w:val="center"/>
            <w:shd w:fill="F5F5F5"/>
          </w:tcPr>
          <w:p>
            <w:pPr>
              <w:spacing w:after="20" w:before="20" w:line="245" w:lineRule="auto"/>
              <w:jc w:val="right"/>
            </w:pPr>
            <w:r>
              <w:rPr>
                <w:b w:val="0"/>
                <w:color w:val="242021"/>
                <w:sz w:val="20"/>
              </w:rPr>
              <w:t>L 14,250</w:t>
            </w:r>
          </w:p>
        </w:tc>
        <w:tc>
          <w:tcPr>
            <w:tcW w:type="dxa" w:w="2376"/>
            <w:vAlign w:val="center"/>
            <w:shd w:fill="F5F5F5"/>
          </w:tcPr>
          <w:p>
            <w:pPr>
              <w:spacing w:after="20" w:before="20" w:line="245" w:lineRule="auto"/>
              <w:jc w:val="right"/>
            </w:pPr>
            <w:r>
              <w:rPr>
                <w:b w:val="0"/>
                <w:color w:val="242021"/>
                <w:sz w:val="20"/>
              </w:rPr>
              <w:t>L 109,250</w:t>
            </w:r>
          </w:p>
        </w:tc>
      </w:tr>
      <w:tr>
        <w:trPr>
          <w:cantSplit/>
        </w:trPr>
        <w:tc>
          <w:tcPr>
            <w:tcW w:type="dxa" w:w="3600"/>
            <w:vAlign w:val="center"/>
            <w:shd w:fill="FFFFFF"/>
          </w:tcPr>
          <w:p>
            <w:pPr>
              <w:spacing w:after="20" w:before="20" w:line="245" w:lineRule="auto"/>
            </w:pPr>
            <w:r>
              <w:rPr>
                <w:b/>
                <w:color w:val="242021"/>
                <w:sz w:val="20"/>
              </w:rPr>
              <w:t>Total del proyecto</w:t>
            </w:r>
          </w:p>
        </w:tc>
        <w:tc>
          <w:tcPr>
            <w:tcW w:type="dxa" w:w="2016"/>
            <w:vAlign w:val="center"/>
            <w:shd w:fill="FFFFFF"/>
          </w:tcPr>
          <w:p>
            <w:pPr>
              <w:spacing w:after="20" w:before="20" w:line="245" w:lineRule="auto"/>
              <w:jc w:val="right"/>
            </w:pPr>
            <w:r>
              <w:rPr>
                <w:b/>
                <w:color w:val="242021"/>
                <w:sz w:val="20"/>
              </w:rPr>
              <w:t>L 190,000</w:t>
            </w:r>
          </w:p>
        </w:tc>
        <w:tc>
          <w:tcPr>
            <w:tcW w:type="dxa" w:w="1944"/>
            <w:vAlign w:val="center"/>
            <w:shd w:fill="FFFFFF"/>
          </w:tcPr>
          <w:p>
            <w:pPr>
              <w:spacing w:after="20" w:before="20" w:line="245" w:lineRule="auto"/>
              <w:jc w:val="right"/>
            </w:pPr>
            <w:r>
              <w:rPr>
                <w:b/>
                <w:color w:val="242021"/>
                <w:sz w:val="20"/>
              </w:rPr>
              <w:t>L 28,500</w:t>
            </w:r>
          </w:p>
        </w:tc>
        <w:tc>
          <w:tcPr>
            <w:tcW w:type="dxa" w:w="2376"/>
            <w:vAlign w:val="center"/>
            <w:shd w:fill="FFFFFF"/>
          </w:tcPr>
          <w:p>
            <w:pPr>
              <w:spacing w:after="20" w:before="20" w:line="245" w:lineRule="auto"/>
              <w:jc w:val="right"/>
            </w:pPr>
            <w:r>
              <w:rPr>
                <w:b/>
                <w:color w:val="242021"/>
                <w:sz w:val="20"/>
              </w:rPr>
              <w:t>L 218,500</w:t>
            </w:r>
          </w:p>
        </w:tc>
      </w:tr>
    </w:tbl>
    <w:p>
      <w:pPr>
        <w:spacing w:after="160" w:line="20" w:lineRule="exact" w:before="0"/>
      </w:pPr>
    </w:p>
    <w:p>
      <w:r>
        <w:rPr>
          <w:b w:val="0"/>
          <w:color w:val="242021"/>
        </w:rPr>
        <w:t>Las facturas serán pagaderas en quince días calendario desde su recepción válida. El arranque requiere el primer pago efectivo. El segundo pago corresponde a la aceptación prevista en la cláusula 7. Se aplicará el tratamiento fiscal legalmente procedente; las exoneraciones deberán acreditarse y las retenciones acompañarse de constancia. Los pagos se registrarán con sus comprobantes y los servicios opcionales se facturarán únicamente cuando hayan sido activados por escrito.</w:t>
      </w:r>
    </w:p>
    <w:p>
      <w:r>
        <w:rPr>
          <w:b w:val="0"/>
          <w:color w:val="242021"/>
        </w:rPr>
        <w:t>Cualquier objeción de factura se notificará con su fundamento dentro de cinco días hábiles; se atenderá de buena fe sin demorar el pago de los importes no controvertidos. No se podrán condicionar pagos a funciones no contratadas. Los pagos documentados anteriores a la firma, si los hubiera, se imputarán al hito correspondiente sin duplicación.</w:t>
      </w:r>
    </w:p>
    <w:p>
      <w:pPr>
        <w:pStyle w:val="Heading2"/>
      </w:pPr>
      <w:r>
        <w:rPr>
          <w:color w:val="000000"/>
        </w:rPr>
        <w:t>5 Inicio y obligaciones de ejecución</w:t>
      </w:r>
    </w:p>
    <w:p>
      <w:r>
        <w:rPr>
          <w:b w:val="0"/>
          <w:color w:val="242021"/>
        </w:rPr>
        <w:t>El contrato entra en vigor en la fecha de la última firma. Las partes coordinarán y documentarán en el acta de inicio la fecha de arranque del plazo estimado de ocho semanas, una vez recibido el anticipo y disponibles los responsables, accesos, reglas y casos de prueba.</w:t>
      </w:r>
    </w:p>
    <w:p>
      <w:r>
        <w:rPr>
          <w:b w:val="0"/>
          <w:color w:val="242021"/>
        </w:rPr>
        <w:t>MACAO realizará diseño, desarrollo, configuración, pruebas, documentación, capacitación y despliegue con personal idóneo. Mantendrá un registro semanal de avance y participará en una reunión virtual de hasta sesenta minutos y hasta ocho revisiones presenciales de sábado de hasta tres horas, en la ciudad acordada.</w:t>
      </w:r>
    </w:p>
    <w:p>
      <w:r>
        <w:rPr>
          <w:b w:val="0"/>
          <w:color w:val="242021"/>
        </w:rPr>
        <w:t>AFP Occidente designará un responsable con autoridad operativa; entregará información y datos de prueba autorizados, políticas, accesos y decisiones ordinarias en dos días hábiles. Las pruebas de aceptación final tienen su propio plazo. Cada parte comunicará bloqueos y mitigará su impacto. Los ajustes de calendario se limitarán a las actividades realmente afectadas y quedarán documentados.</w:t>
      </w:r>
    </w:p>
    <w:p>
      <w:pPr>
        <w:pStyle w:val="Heading2"/>
      </w:pPr>
      <w:r>
        <w:rPr>
          <w:color w:val="000000"/>
        </w:rPr>
        <w:t>6 Gestión de cambios</w:t>
      </w:r>
    </w:p>
    <w:p>
      <w:r>
        <w:rPr>
          <w:b w:val="0"/>
          <w:color w:val="242021"/>
        </w:rPr>
        <w:t>Se considera defecto el incumplimiento de un requisito aprobado; se considera cambio una nueva función, integración, formato o modificación sustantiva. MACAO documentará cada cambio con descripción, costo, plazo e impacto en pruebas. Ningún cambio se ejecutará o facturará sin aprobación escrita de los representantes económicos autorizados. Las decisiones de la semana 1 precisan el alcance, sin ampliarlo ni reducirlo unilateralmente.</w:t>
      </w:r>
    </w:p>
    <w:p>
      <w:pPr>
        <w:spacing w:line="20" w:lineRule="exact" w:before="0" w:after="0"/>
      </w:pPr>
      <w:r>
        <w:rPr>
          <w:color w:val="242021"/>
          <w:sz w:val="2"/>
        </w:rPr>
        <w:br w:type="page"/>
      </w:r>
    </w:p>
    <w:p>
      <w:pPr>
        <w:pStyle w:val="Heading1"/>
      </w:pPr>
      <w:r>
        <w:rPr>
          <w:color w:val="000000"/>
        </w:rPr>
        <w:t>7 Entrega y aceptación final</w:t>
      </w:r>
    </w:p>
    <w:p>
      <w:r>
        <w:rPr>
          <w:b w:val="0"/>
          <w:color w:val="242021"/>
        </w:rPr>
        <w:t>Los entregables y escenarios de aceptación serán los del Anexo A y su matriz de pruebas. MACAO notificará la entrega completa, indicando versión, ambiente accesible, evidencias, manual, capacitaciones y pendientes. AFP Occidente dispondrá de cinco días hábiles desde esa notificación y disponibilidad efectiva para aceptar o reportar incumplimientos materiales por escrito.</w:t>
      </w:r>
    </w:p>
    <w:p>
      <w:r>
        <w:rPr>
          <w:b w:val="0"/>
          <w:color w:val="242021"/>
        </w:rPr>
        <w:t>Es material un defecto que impida un proceso esencial del alcance, incumpla un criterio de seguridad acordado o comprometa la integridad de datos. El reporte identificará el requisito, el escenario y evidencia razonable. MACAO corregirá los defectos cubiertos sin cargo y facilitará una revisión de cinco días hábiles de la corrección y sus efectos. Los defectos menores tendrán responsable y fecha de corrección y no bloquearán por sí solos la aceptación.</w:t>
      </w:r>
    </w:p>
    <w:p>
      <w:r>
        <w:rPr>
          <w:b w:val="0"/>
          <w:color w:val="242021"/>
        </w:rPr>
        <w:t>Si no se reciben observaciones materiales dentro del plazo inicial, MACAO enviará recordatorio y concederá dos días hábiles adicionales. Vencidos sin observaciones materiales, la entrega se tendrá por aceptada para los efectos contractuales, siempre que MACAO conserve evidencia de acceso, entrega y notificaciones. No procederá mientras el acceso esté impedido por causa de MACAO ni mientras haya defectos materiales oportunamente reportados sin resolver.</w:t>
      </w:r>
    </w:p>
    <w:p>
      <w:r>
        <w:rPr>
          <w:b w:val="0"/>
          <w:color w:val="242021"/>
        </w:rPr>
        <w:t>La aceptación podrá constar en acta firmada o en constancia de vencimiento del procedimiento anterior. En este último caso no será necesaria una firma adicional para causar el segundo pago. Las mejoras ajenas al alcance no condicionan la aceptación. La aceptación no extingue la garantía ni los remedios legales que no puedan excluirse.</w:t>
      </w:r>
    </w:p>
    <w:p>
      <w:pPr>
        <w:pStyle w:val="Heading2"/>
      </w:pPr>
      <w:r>
        <w:rPr>
          <w:color w:val="000000"/>
        </w:rPr>
        <w:t>8 Garantía correctiva</w:t>
      </w:r>
    </w:p>
    <w:p>
      <w:r>
        <w:rPr>
          <w:b w:val="0"/>
          <w:color w:val="242021"/>
        </w:rPr>
        <w:t>MACAO otorga treinta días calendario de garantía desde la aceptación final para corregir defectos reproducibles del alcance entregado. Los reportes recibidos dentro del período se atenderán hasta su corrección aunque esta ocurra después. Las tareas de diagnóstico y corrección cubiertas no consumen bolsas pagadas ni generan cargos adicionales.</w:t>
      </w:r>
    </w:p>
    <w:p>
      <w:r>
        <w:rPr>
          <w:b w:val="0"/>
          <w:color w:val="242021"/>
        </w:rPr>
        <w:t>No forman parte de la garantía las nuevas funciones, reglas nuevas, integraciones no contratadas o capacitación adicional. Los eventos atribuibles a datos, infraestructura o modificaciones de terceros se excluyen solo en la medida de su relación causal; MACAO documentará el diagnóstico y conservará responsabilidad por sus propias actuaciones.</w:t>
      </w:r>
    </w:p>
    <w:p>
      <w:r>
        <w:rPr>
          <w:b w:val="0"/>
          <w:color w:val="242021"/>
        </w:rPr>
        <w:t>Ante un reporte, MACAO comunicará la clasificación y el plan de atención en horario hábil. Si la causa no está cubierta, presentará estimación antes de cualquier trabajo facturable. La garantía no constituye mesa de ayuda ilimitada ni operación 24/7. Los seis meses de alojamiento de cortesía no amplían por sí mismos este período correctivo.</w:t>
      </w:r>
    </w:p>
    <w:p>
      <w:pPr>
        <w:spacing w:line="20" w:lineRule="exact" w:before="0" w:after="0"/>
      </w:pPr>
      <w:r>
        <w:rPr>
          <w:color w:val="242021"/>
          <w:sz w:val="2"/>
        </w:rPr>
        <w:br w:type="page"/>
      </w:r>
    </w:p>
    <w:p>
      <w:pPr>
        <w:pStyle w:val="Heading1"/>
      </w:pPr>
      <w:r>
        <w:rPr>
          <w:color w:val="000000"/>
        </w:rPr>
        <w:t>9 Alojamiento de cortesía y capacidad</w:t>
      </w:r>
    </w:p>
    <w:p>
      <w:r>
        <w:rPr>
          <w:b w:val="0"/>
          <w:color w:val="242021"/>
        </w:rPr>
        <w:t>MACAO proporcionará seis meses calendario en total de alojamiento AWS y administración básica sin cargo adicional, sin condicionar el beneficio a un plan pagado ni a la compra del código fuente. El período inicia en la fecha en que concurran aceptación final y puesta en operación, registrada en acta. El alojamiento necesario para desarrollar y probar el proyecto hasta su entrega forma parte de la implementación.</w:t>
      </w:r>
    </w:p>
    <w:p>
      <w:r>
        <w:rPr>
          <w:b w:val="0"/>
          <w:color w:val="242021"/>
        </w:rPr>
        <w:t>La modalidad inicial prevista es alojamiento temporal administrado por MACAO, con recursos dedicados o aislamiento lógico de los datos del Cliente. La región, titular de cuenta, recursos y accesos se identificarán en el Anexo B antes de producción. Si se utiliza cuenta de AFP Occidente desde el comienzo, las partes documentarán el mecanismo y límite del aporte de cortesía y la responsabilidad de facturación.</w:t>
      </w:r>
    </w:p>
    <w:p>
      <w:r>
        <w:rPr>
          <w:b w:val="0"/>
          <w:color w:val="242021"/>
        </w:rPr>
        <w:t>La cobertura incluye los recursos base acordados de Lightsail, RDS y S3, monitoreo básico en horario hábil, verificación de ejecución de respaldos y mantenimiento preventivo de infraestructura. No incluye consumo de IA, dominio, correo, licencias de terceros, crecimiento no aprobado, alta disponibilidad multirregión ni vigilancia humana 24/7. El acta operativa precisará tareas y frecuencia, sin convertir el mantenimiento incluido en horas de soporte de aplicación.</w:t>
      </w:r>
    </w:p>
    <w:p>
      <w:r>
        <w:rPr>
          <w:b w:val="0"/>
          <w:color w:val="242021"/>
        </w:rPr>
        <w:t>La capacidad base, almacenamiento, usuarios concurrentes, tráfico, retención y recursos de respaldo se definirán en la semana 1. MACAO vigilará su consumo y notificará desviaciones previsibles con alternativas y costo. No ampliará recursos ni trasladará cargos al Cliente sin aprobación escrita. Ante riesgo inmediato, podrá limitar de forma proporcional una carga que amenace el servicio, notificando y coordinando la medida, sin eliminar expedientes.</w:t>
      </w:r>
    </w:p>
    <w:p>
      <w:pPr>
        <w:pStyle w:val="Heading2"/>
      </w:pPr>
      <w:r>
        <w:rPr>
          <w:color w:val="000000"/>
        </w:rPr>
        <w:t>10 Administración y recuperación</w:t>
      </w:r>
    </w:p>
    <w:p>
      <w:r>
        <w:rPr>
          <w:b w:val="0"/>
          <w:color w:val="242021"/>
        </w:rPr>
        <w:t>Mientras administre la infraestructura, MACAO configurará los controles y respaldos aprobados, revisará su ejecución y realizará las pruebas de restauración con la frecuencia acordada. El Anexo B debe fijar retención, frecuencia, ubicación, cifrado, tiempo objetivo de recuperación y pérdida de datos tolerable antes de producción. No se presume pérdida cero ni recuperación instantánea.</w:t>
      </w:r>
    </w:p>
    <w:p>
      <w:r>
        <w:rPr>
          <w:b w:val="0"/>
          <w:color w:val="242021"/>
        </w:rPr>
        <w:t>AFP Occidente mantendrá la titularidad de sus datos, designará responsables de acceso y validará sus políticas de retención. En infraestructura propia administrada por el Cliente, este asumirá los servicios y tareas transferidos en el acta de migración; MACAO responderá por los trabajos que continúe prestando. Las fallas de AWS u otros terceros no eximen a MACAO de sus deberes de configuración, comunicación y recuperación expresamente asumidos.</w:t>
      </w:r>
    </w:p>
    <w:p>
      <w:pPr>
        <w:spacing w:line="20" w:lineRule="exact" w:before="0" w:after="0"/>
      </w:pPr>
      <w:r>
        <w:rPr>
          <w:color w:val="242021"/>
          <w:sz w:val="2"/>
        </w:rPr>
        <w:br w:type="page"/>
      </w:r>
    </w:p>
    <w:p>
      <w:pPr>
        <w:pStyle w:val="Heading1"/>
      </w:pPr>
      <w:r>
        <w:rPr>
          <w:color w:val="000000"/>
        </w:rPr>
        <w:t>11 Confidencialidad y tratamiento de información</w:t>
      </w:r>
    </w:p>
    <w:p>
      <w:r>
        <w:rPr>
          <w:b w:val="0"/>
          <w:color w:val="242021"/>
        </w:rPr>
        <w:t>Cada parte protegerá la información no pública de la otra y la utilizará exclusivamente para ejecutar el contrato. El acceso se limitará a personal y proveedores autorizados que necesiten conocerla y estén sujetos a obligaciones de confidencialidad. Se excluye la información pública sin infracción, obtenida legítimamente de un tercero o desarrollada de forma independiente con evidencia.</w:t>
      </w:r>
    </w:p>
    <w:p>
      <w:r>
        <w:rPr>
          <w:b w:val="0"/>
          <w:color w:val="242021"/>
        </w:rPr>
        <w:t>Se permite la comunicación a asesores sujetos a reserva y a autoridades o auditores legitimados. Cuando sea legalmente posible, se notificará previamente a la parte afectada y se limitará la entrega a lo requerido. La reserva subsistirá cinco años tras el término; respecto de datos personales, información financiera y secretos empresariales, mientras mantengan esa naturaleza o por el plazo legal superior aplicable.</w:t>
      </w:r>
    </w:p>
    <w:p>
      <w:r>
        <w:rPr>
          <w:b w:val="0"/>
          <w:color w:val="242021"/>
        </w:rPr>
        <w:t>AFP Occidente determinará las finalidades, autorizaciones y retención de los expedientes. MACAO tratará la información por instrucciones documentadas, sin venderla, reutilizarla comercialmente ni incorporarla a demostraciones o entrenamiento de modelos. No utilizará nombre, logotipo o resultados identificables del Cliente como referencia comercial sin permiso escrito.</w:t>
      </w:r>
    </w:p>
    <w:p>
      <w:pPr>
        <w:pStyle w:val="Heading2"/>
      </w:pPr>
      <w:r>
        <w:rPr>
          <w:color w:val="000000"/>
        </w:rPr>
        <w:t>12 Proveedores e inteligencia artificial</w:t>
      </w:r>
    </w:p>
    <w:p>
      <w:r>
        <w:rPr>
          <w:b w:val="0"/>
          <w:color w:val="242021"/>
        </w:rPr>
        <w:t>Antes de procesar datos productivos, el Cliente aprobará los proveedores, regiones y categorías de información autorizadas. MACAO documentará los accesos, condiciones de retención y restricciones de uso del proveedor de IA; no enviará datos hasta obtener esa autorización. Se procurará minimizar o anonimizar los datos de prueba. El consumo de IA se factura por el proveedor o mediante acuerdo separado, nunca como parte implícita de la cortesía AWS.</w:t>
      </w:r>
    </w:p>
    <w:p>
      <w:r>
        <w:rPr>
          <w:b w:val="0"/>
          <w:color w:val="242021"/>
        </w:rPr>
        <w:t>La clasificación, extracción y recomendación automatizadas son apoyo operativo sujeto a revisión humana. AFP Occidente conserva la decisión de afiliación y cumplimiento. MACAO deberá implementar las validaciones y controles contratados y responder por sus defectos; no garantiza autenticidad documental ni una decisión regulatoria favorable.</w:t>
      </w:r>
    </w:p>
    <w:p>
      <w:pPr>
        <w:pStyle w:val="Heading2"/>
      </w:pPr>
      <w:r>
        <w:rPr>
          <w:color w:val="000000"/>
        </w:rPr>
        <w:t>13 Incidentes y cooperación con revisiones</w:t>
      </w:r>
    </w:p>
    <w:p>
      <w:r>
        <w:rPr>
          <w:b w:val="0"/>
          <w:color w:val="242021"/>
        </w:rPr>
        <w:t>Al conocer un incidente que comprometa información o servicios del Cliente, MACAO notificará inmediatamente por el canal urgente acordado, sin esperar el diagnóstico completo y como máximo dentro de una hora desde su conocimiento efectivo. Informará lo conocido, contención y siguientes actualizaciones, preservará evidencia y cooperará en la recuperación. Este aviso busca permitir al Cliente atender sus plazos regulatorios y no supone monitoreo humano 24/7 ni solución en una hora.</w:t>
      </w:r>
    </w:p>
    <w:p>
      <w:r>
        <w:rPr>
          <w:b w:val="0"/>
          <w:color w:val="242021"/>
        </w:rPr>
        <w:t>MACAO facilitará evidencia y acceso pertinente para auditorías del servicio y supervisión legítima, protegiendo información de otros clientes. Las revisiones ordinarias se coordinarán razonablemente; los plazos y facultades regulatorios prevalecen. AFP Occidente confirmará la clasificación del servicio y tramitará las notificaciones o autorizaciones que le correspondan, con cooperación de MACAO. Los requisitos se revisarán antes de firmar y de usar datos productivos.</w:t>
      </w:r>
    </w:p>
    <w:p>
      <w:pPr>
        <w:spacing w:line="20" w:lineRule="exact" w:before="0" w:after="0"/>
      </w:pPr>
      <w:r>
        <w:rPr>
          <w:color w:val="242021"/>
          <w:sz w:val="2"/>
        </w:rPr>
        <w:br w:type="page"/>
      </w:r>
    </w:p>
    <w:p>
      <w:pPr>
        <w:pStyle w:val="Heading1"/>
      </w:pPr>
      <w:r>
        <w:rPr>
          <w:color w:val="000000"/>
        </w:rPr>
        <w:t>14 Licencia y propiedad intelectual</w:t>
      </w:r>
    </w:p>
    <w:p>
      <w:r>
        <w:rPr>
          <w:b w:val="0"/>
          <w:color w:val="242021"/>
        </w:rPr>
        <w:t>Una vez pagado el desarrollo, AFP Occidente recibe una licencia no exclusiva, por tiempo indefinido, para ejecutar la versión entregada en sus operaciones y permitir acceso a usuarios internos y externos autorizados por el alcance. Podrá mantener ambientes de producción, prueba y recuperación y trasladar la solución a infraestructura compatible propia o de un proveedor que actúe por su cuenta. Antes del pago total, se autoriza su uso para pruebas y puesta en marcha conforme al contrato.</w:t>
      </w:r>
    </w:p>
    <w:p>
      <w:r>
        <w:rPr>
          <w:b w:val="0"/>
          <w:color w:val="242021"/>
        </w:rPr>
        <w:t>La licencia no depende de contratar soporte ni alojamiento con MACAO. El Cliente podrá encargar a terceros la operación de la versión entregada bajo confidencialidad. No se autoriza su reventa, sublicencia a entidades independientes ni comercialización como producto. Las entidades del grupo no se incluyen automáticamente como nuevos licenciatarios.</w:t>
      </w:r>
    </w:p>
    <w:p>
      <w:r>
        <w:rPr>
          <w:b w:val="0"/>
          <w:color w:val="242021"/>
        </w:rPr>
        <w:t>Los datos, documentos, marcas y materiales aportados por AFP Occidente permanecen bajo su titularidad. MACAO conserva los derechos sobre el software desarrollado, sus herramientas y componentes preexistentes o reutilizables, salvo cesión expresa posterior. Las dependencias de terceros conservan sus licencias. MACAO identificará las necesarias para el uso contratado y no incorporará restricciones incompatibles sin informarlas y acordarlas.</w:t>
      </w:r>
    </w:p>
    <w:p>
      <w:pPr>
        <w:pStyle w:val="Heading2"/>
      </w:pPr>
      <w:r>
        <w:rPr>
          <w:color w:val="000000"/>
        </w:rPr>
        <w:t>15 Entrega operativa y código opcional</w:t>
      </w:r>
    </w:p>
    <w:p>
      <w:r>
        <w:rPr>
          <w:b w:val="0"/>
          <w:color w:val="242021"/>
        </w:rPr>
        <w:t>La entrega base incluye los artefactos necesarios para ejecutar la versión pagada, configuración sin secretos expuestos e instrucciones suficientes para operar, respaldar y restaurar el ambiente. MACAO no condicionará la migración ni la entrega de datos al pago de la opción de código fuente.</w:t>
      </w:r>
    </w:p>
    <w:p>
      <w:r>
        <w:rPr>
          <w:b w:val="0"/>
          <w:color w:val="242021"/>
        </w:rPr>
        <w:t>La entrega del repositorio fuente y documentación técnica ampliada tiene un precio opcional de L 55,000 más ISV. Solo se activa por escrito, con pago de L 27,500 más ISV al activarla y L 27,500 más ISV antes de la entrega técnica. El plazo concreto se acordará en la orden de activación.</w:t>
      </w:r>
    </w:p>
    <w:p>
      <w:pPr>
        <w:pStyle w:val="ListBullet"/>
        <w:tabs>
          <w:tab w:pos="259" w:val="left"/>
        </w:tabs>
        <w:spacing w:after="40"/>
        <w:ind w:left="259" w:hanging="216"/>
      </w:pPr>
      <w:r>
        <w:rPr>
          <w:color w:val="242021"/>
        </w:rPr>
        <w:t>Copia del repositorio de la versión aceptada, esquema y migraciones de base de datos.</w:t>
      </w:r>
    </w:p>
    <w:p>
      <w:pPr>
        <w:pStyle w:val="ListBullet"/>
        <w:tabs>
          <w:tab w:pos="259" w:val="left"/>
        </w:tabs>
        <w:spacing w:after="40"/>
        <w:ind w:left="259" w:hanging="216"/>
      </w:pPr>
      <w:r>
        <w:rPr>
          <w:color w:val="242021"/>
        </w:rPr>
        <w:t>Arquitectura, dependencias, variables de entorno e inventario de APIs.</w:t>
      </w:r>
    </w:p>
    <w:p>
      <w:pPr>
        <w:pStyle w:val="ListBullet"/>
        <w:tabs>
          <w:tab w:pos="259" w:val="left"/>
        </w:tabs>
        <w:spacing w:after="40"/>
        <w:ind w:left="259" w:hanging="216"/>
      </w:pPr>
      <w:r>
        <w:rPr>
          <w:color w:val="242021"/>
        </w:rPr>
        <w:t>Guías de instalación, despliegue, respaldo, recuperación y operación técnica.</w:t>
      </w:r>
    </w:p>
    <w:p>
      <w:pPr>
        <w:pStyle w:val="ListBullet"/>
        <w:tabs>
          <w:tab w:pos="259" w:val="left"/>
        </w:tabs>
        <w:spacing w:after="40"/>
        <w:ind w:left="259" w:hanging="216"/>
      </w:pPr>
      <w:r>
        <w:rPr>
          <w:color w:val="242021"/>
        </w:rPr>
        <w:t>Una sesión de transferencia de hasta cuatro horas; sin claves, secretos ni derechos no transferibles de terceros.</w:t>
      </w:r>
    </w:p>
    <w:p>
      <w:r>
        <w:rPr>
          <w:b w:val="0"/>
          <w:color w:val="242021"/>
        </w:rPr>
        <w:t>La opción autoriza al Cliente y sus prestadores confidenciales a mantener y modificar esa versión para su propio uso. No transfiere exclusividad sobre herramientas o componentes reutilizables ni habilita su comercialización. Una cesión exclusiva requeriría un acuerdo independiente. Las modificaciones de terceros no extinguen toda la garantía: se excluyen únicamente los defectos causalmente atribuibles a dichas modificaciones.</w:t>
      </w:r>
    </w:p>
    <w:p>
      <w:pPr>
        <w:pStyle w:val="Heading2"/>
      </w:pPr>
      <w:r>
        <w:rPr>
          <w:color w:val="000000"/>
        </w:rPr>
        <w:t>Acceso de contingencia para continuidad</w:t>
      </w:r>
    </w:p>
    <w:p>
      <w:r>
        <w:rPr>
          <w:b w:val="0"/>
          <w:color w:val="242021"/>
        </w:rPr>
        <w:t>MACAO mantendrá una copia actualizada del código fuente de la versión productiva pagada y su documentación mediante un mecanismo de custodia que se establecerá en el Anexo B antes de producción. Ante cese definitivo de MACAO o imposibilidad comprobada de prestar el servicio por treinta días sin alternativa efectiva, el Cliente podrá obtener esa copia para continuar y mantener su operación, sin pagar la opción ordinaria. Las exigencias regulatorias aplicables prevalecen. Las partes acordarán expresamente el custodio, la verificación, la actualización y los costos del mecanismo antes de su constitución. La liberación no permite comercialización ni cesión exclusiva de componentes reutilizables.</w:t>
      </w:r>
    </w:p>
    <w:p>
      <w:pPr>
        <w:spacing w:line="20" w:lineRule="exact" w:before="0" w:after="0"/>
      </w:pPr>
      <w:r>
        <w:rPr>
          <w:color w:val="242021"/>
          <w:sz w:val="2"/>
        </w:rPr>
        <w:br w:type="page"/>
      </w:r>
    </w:p>
    <w:p>
      <w:pPr>
        <w:pStyle w:val="Heading1"/>
      </w:pPr>
      <w:r>
        <w:rPr>
          <w:color w:val="000000"/>
        </w:rPr>
        <w:t>16 Planes y soporte a demanda</w:t>
      </w:r>
    </w:p>
    <w:p>
      <w:r>
        <w:rPr>
          <w:b w:val="0"/>
          <w:color w:val="242021"/>
        </w:rPr>
        <w:t>La contratación principal no incluye un plan pagado. Los siguientes servicios requieren orden de activación escrita que identifique modalidad, fecha, capacidad, contactos y condiciones de renovación. Precios antes de ISV:</w:t>
      </w:r>
    </w:p>
    <w:tbl>
      <w:tblPr>
        <w:tblW w:type="auto" w:w="0"/>
        <w:jc w:val="center"/>
        <w:tblLayout w:type="fixed"/>
        <w:tblLook w:firstColumn="1" w:firstRow="1" w:lastColumn="0" w:lastRow="0" w:noHBand="0" w:noVBand="1" w:val="04A0"/>
        <w:tblCellMar>
          <w:top w:w="90" w:type="dxa"/>
          <w:left w:w="90" w:type="dxa"/>
          <w:bottom w:w="90"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944"/>
        <w:gridCol w:w="5112"/>
      </w:tblGrid>
      <w:tr>
        <w:trPr>
          <w:cantSplit/>
          <w:tblHeader/>
        </w:trPr>
        <w:tc>
          <w:tcPr>
            <w:tcW w:type="dxa" w:w="2880"/>
            <w:vAlign w:val="center"/>
            <w:shd w:fill="242021"/>
            <w:tcBorders>
              <w:bottom w:val="single" w:sz="8" w:color="FF0006"/>
            </w:tcBorders>
          </w:tcPr>
          <w:p>
            <w:pPr>
              <w:spacing w:after="20" w:before="20" w:line="245" w:lineRule="auto"/>
            </w:pPr>
            <w:r>
              <w:rPr>
                <w:b/>
                <w:color w:val="FFFFFF"/>
                <w:sz w:val="20"/>
              </w:rPr>
              <w:t>Modalidad</w:t>
            </w:r>
          </w:p>
        </w:tc>
        <w:tc>
          <w:tcPr>
            <w:tcW w:type="dxa" w:w="1944"/>
            <w:vAlign w:val="center"/>
            <w:shd w:fill="242021"/>
            <w:tcBorders>
              <w:bottom w:val="single" w:sz="8" w:color="FF0006"/>
            </w:tcBorders>
          </w:tcPr>
          <w:p>
            <w:pPr>
              <w:spacing w:after="20" w:before="20" w:line="245" w:lineRule="auto"/>
            </w:pPr>
            <w:r>
              <w:rPr>
                <w:b/>
                <w:color w:val="FFFFFF"/>
                <w:sz w:val="20"/>
              </w:rPr>
              <w:t>Mensualidad</w:t>
            </w:r>
          </w:p>
        </w:tc>
        <w:tc>
          <w:tcPr>
            <w:tcW w:type="dxa" w:w="5112"/>
            <w:vAlign w:val="center"/>
            <w:shd w:fill="242021"/>
            <w:tcBorders>
              <w:bottom w:val="single" w:sz="8" w:color="FF0006"/>
            </w:tcBorders>
          </w:tcPr>
          <w:p>
            <w:pPr>
              <w:spacing w:after="20" w:before="20" w:line="245" w:lineRule="auto"/>
            </w:pPr>
            <w:r>
              <w:rPr>
                <w:b/>
                <w:color w:val="FFFFFF"/>
                <w:sz w:val="20"/>
              </w:rPr>
              <w:t>Horas de aplicación</w:t>
            </w:r>
          </w:p>
        </w:tc>
      </w:tr>
      <w:tr>
        <w:trPr>
          <w:cantSplit/>
        </w:trPr>
        <w:tc>
          <w:tcPr>
            <w:tcW w:type="dxa" w:w="2880"/>
            <w:vAlign w:val="center"/>
            <w:shd w:fill="FFFFFF"/>
          </w:tcPr>
          <w:p>
            <w:pPr>
              <w:spacing w:after="20" w:before="20" w:line="245" w:lineRule="auto"/>
            </w:pPr>
            <w:r>
              <w:rPr>
                <w:b w:val="0"/>
                <w:color w:val="242021"/>
                <w:sz w:val="20"/>
              </w:rPr>
              <w:t>Alojamiento administrado</w:t>
            </w:r>
          </w:p>
        </w:tc>
        <w:tc>
          <w:tcPr>
            <w:tcW w:type="dxa" w:w="1944"/>
            <w:vAlign w:val="center"/>
            <w:shd w:fill="FFFFFF"/>
          </w:tcPr>
          <w:p>
            <w:pPr>
              <w:spacing w:after="20" w:before="20" w:line="245" w:lineRule="auto"/>
              <w:jc w:val="right"/>
            </w:pPr>
            <w:r>
              <w:rPr>
                <w:b w:val="0"/>
                <w:color w:val="242021"/>
                <w:sz w:val="20"/>
              </w:rPr>
              <w:t>L 4,500</w:t>
            </w:r>
          </w:p>
        </w:tc>
        <w:tc>
          <w:tcPr>
            <w:tcW w:type="dxa" w:w="5112"/>
            <w:vAlign w:val="center"/>
            <w:shd w:fill="FFFFFF"/>
          </w:tcPr>
          <w:p>
            <w:pPr>
              <w:spacing w:after="20" w:before="20" w:line="245" w:lineRule="auto"/>
            </w:pPr>
            <w:r>
              <w:rPr>
                <w:b w:val="0"/>
                <w:color w:val="242021"/>
                <w:sz w:val="20"/>
              </w:rPr>
              <w:t>0; incluye administración básica de infraestructura.</w:t>
            </w:r>
          </w:p>
        </w:tc>
      </w:tr>
      <w:tr>
        <w:trPr>
          <w:cantSplit/>
        </w:trPr>
        <w:tc>
          <w:tcPr>
            <w:tcW w:type="dxa" w:w="2880"/>
            <w:vAlign w:val="center"/>
            <w:shd w:fill="F5F5F5"/>
          </w:tcPr>
          <w:p>
            <w:pPr>
              <w:spacing w:after="20" w:before="20" w:line="245" w:lineRule="auto"/>
            </w:pPr>
            <w:r>
              <w:rPr>
                <w:b w:val="0"/>
                <w:color w:val="242021"/>
                <w:sz w:val="20"/>
              </w:rPr>
              <w:t>Esencial</w:t>
            </w:r>
          </w:p>
        </w:tc>
        <w:tc>
          <w:tcPr>
            <w:tcW w:type="dxa" w:w="1944"/>
            <w:vAlign w:val="center"/>
            <w:shd w:fill="F5F5F5"/>
          </w:tcPr>
          <w:p>
            <w:pPr>
              <w:spacing w:after="20" w:before="20" w:line="245" w:lineRule="auto"/>
              <w:jc w:val="right"/>
            </w:pPr>
            <w:r>
              <w:rPr>
                <w:b w:val="0"/>
                <w:color w:val="242021"/>
                <w:sz w:val="20"/>
              </w:rPr>
              <w:t>L 6,500</w:t>
            </w:r>
          </w:p>
        </w:tc>
        <w:tc>
          <w:tcPr>
            <w:tcW w:type="dxa" w:w="5112"/>
            <w:vAlign w:val="center"/>
            <w:shd w:fill="F5F5F5"/>
          </w:tcPr>
          <w:p>
            <w:pPr>
              <w:spacing w:after="20" w:before="20" w:line="245" w:lineRule="auto"/>
            </w:pPr>
            <w:r>
              <w:rPr>
                <w:b w:val="0"/>
                <w:color w:val="242021"/>
                <w:sz w:val="20"/>
              </w:rPr>
              <w:t>2 horas remotas, además del alojamiento administrado.</w:t>
            </w:r>
          </w:p>
        </w:tc>
      </w:tr>
      <w:tr>
        <w:trPr>
          <w:cantSplit/>
        </w:trPr>
        <w:tc>
          <w:tcPr>
            <w:tcW w:type="dxa" w:w="2880"/>
            <w:vAlign w:val="center"/>
            <w:shd w:fill="FFFFFF"/>
          </w:tcPr>
          <w:p>
            <w:pPr>
              <w:spacing w:after="20" w:before="20" w:line="245" w:lineRule="auto"/>
            </w:pPr>
            <w:r>
              <w:rPr>
                <w:b w:val="0"/>
                <w:color w:val="242021"/>
                <w:sz w:val="20"/>
              </w:rPr>
              <w:t>Continuidad</w:t>
            </w:r>
          </w:p>
        </w:tc>
        <w:tc>
          <w:tcPr>
            <w:tcW w:type="dxa" w:w="1944"/>
            <w:vAlign w:val="center"/>
            <w:shd w:fill="FFFFFF"/>
          </w:tcPr>
          <w:p>
            <w:pPr>
              <w:spacing w:after="20" w:before="20" w:line="245" w:lineRule="auto"/>
              <w:jc w:val="right"/>
            </w:pPr>
            <w:r>
              <w:rPr>
                <w:b w:val="0"/>
                <w:color w:val="242021"/>
                <w:sz w:val="20"/>
              </w:rPr>
              <w:t>L 9,500</w:t>
            </w:r>
          </w:p>
        </w:tc>
        <w:tc>
          <w:tcPr>
            <w:tcW w:type="dxa" w:w="5112"/>
            <w:vAlign w:val="center"/>
            <w:shd w:fill="FFFFFF"/>
          </w:tcPr>
          <w:p>
            <w:pPr>
              <w:spacing w:after="20" w:before="20" w:line="245" w:lineRule="auto"/>
            </w:pPr>
            <w:r>
              <w:rPr>
                <w:b w:val="0"/>
                <w:color w:val="242021"/>
                <w:sz w:val="20"/>
              </w:rPr>
              <w:t>6 horas remotas, además del alojamiento administrado.</w:t>
            </w:r>
          </w:p>
        </w:tc>
      </w:tr>
    </w:tbl>
    <w:p>
      <w:pPr>
        <w:spacing w:after="160" w:line="20" w:lineRule="exact" w:before="0"/>
      </w:pPr>
    </w:p>
    <w:p>
      <w:r>
        <w:rPr>
          <w:b w:val="0"/>
          <w:color w:val="242021"/>
        </w:rPr>
        <w:t>Continuidad equivale a L 114,000 por doce meses, con pago mensual. Los planes cubren la capacidad base del Anexo B. Su facturación es mensual anticipada, con un período inicial de seis meses pagados y posterior renovación mensual expresamente autorizada en la orden de activación, con aviso de no renovación de treinta días. La cortesía no activa esta permanencia ni exige contratar un plan.</w:t>
      </w:r>
    </w:p>
    <w:p>
      <w:r>
        <w:rPr>
          <w:b w:val="0"/>
          <w:color w:val="242021"/>
        </w:rPr>
        <w:t>Las horas cubren diagnóstico, incidentes y asistencia de configuración de la aplicación; no incorporan desarrollo nuevo por defecto. El mantenimiento de infraestructura incluido y la garantía no consumen la bolsa. El saldo solo pasa al mes inmediatamente siguiente, se usa primero y vence al cierre de ese mes, con máximo de 4 horas en Esencial y 12 en Continuidad. No tiene reembolso ni valor en efectivo.</w:t>
      </w:r>
    </w:p>
    <w:p>
      <w:r>
        <w:rPr>
          <w:b w:val="0"/>
          <w:color w:val="242021"/>
        </w:rPr>
        <w:t>Horario de atención: lunes a viernes, de 8:00 a. m. a 5:00 p. m., hora de Honduras, excepto feriados. Continuidad tiene respuesta inicial objetivo de 4 horas hábiles para indisponibilidad total o riesgo grave de integridad, 8 horas hábiles para afectación relevante parcial y 2 días hábiles para consultas o incidencia menor. En Esencial y alojamiento el acuse objetivo es de 2 días hábiles; la intervención se programa según diagnóstico. Son objetivos de respuesta, no de resolución; no se ofrece atención 24/7.</w:t>
      </w:r>
    </w:p>
    <w:p>
      <w:pPr>
        <w:pStyle w:val="Heading2"/>
      </w:pPr>
      <w:r>
        <w:rPr>
          <w:color w:val="000000"/>
        </w:rPr>
        <w:t>Soporte sin plan y horas adicionales</w:t>
      </w:r>
    </w:p>
    <w:p>
      <w:r>
        <w:rPr>
          <w:b w:val="0"/>
          <w:color w:val="242021"/>
        </w:rPr>
        <w:t>Tarifa de L 1,500 más ISV por hora, mínimo de una hora por solicitud independiente y luego bloques de treinta minutos. Los seguimientos del mismo incidente no reinician el mínimo. MACAO confirmará disponibilidad, estimación y tope antes de trabajar. Solo se factura tiempo utilizado y autorizado con registro de actividades; superar el tope exige aprobación adicional. Las facturas vencen a los quince días calendario de su recepción.</w:t>
      </w:r>
    </w:p>
    <w:p>
      <w:r>
        <w:rPr>
          <w:b w:val="0"/>
          <w:color w:val="242021"/>
        </w:rPr>
        <w:t>El diagnóstico puede ser facturable si fue autorizado; si corresponde a garantía, no se cobra ni descuenta de la bolsa. Atención presencial o fuera de horario y nuevas funciones requieren cotización. Las tarifas se mantienen doce meses desde la firma; todo ajuste posterior requiere aviso de treinta días y acuerdo escrito. En un período mínimo ya contratado se conserva el precio acordado.</w:t>
      </w:r>
    </w:p>
    <w:p>
      <w:pPr>
        <w:spacing w:line="20" w:lineRule="exact" w:before="0" w:after="0"/>
      </w:pPr>
      <w:r>
        <w:rPr>
          <w:color w:val="242021"/>
          <w:sz w:val="2"/>
        </w:rPr>
        <w:br w:type="page"/>
      </w:r>
    </w:p>
    <w:p>
      <w:pPr>
        <w:pStyle w:val="Heading1"/>
      </w:pPr>
      <w:r>
        <w:rPr>
          <w:color w:val="000000"/>
        </w:rPr>
        <w:t>17 Continuidad y migración incluida</w:t>
      </w:r>
    </w:p>
    <w:p>
      <w:r>
        <w:rPr>
          <w:b w:val="0"/>
          <w:color w:val="242021"/>
        </w:rPr>
        <w:t>MACAO convocará al inicio del quinto mes de cortesía una revisión para que AFP Occidente elija continuidad pagada o traslado. Se procurará dejar la decisión escrita treinta días antes del vencimiento. El silencio no activa cobros, planes ni compra de código.</w:t>
      </w:r>
    </w:p>
    <w:p>
      <w:r>
        <w:rPr>
          <w:b w:val="0"/>
          <w:color w:val="242021"/>
        </w:rPr>
        <w:t>MACAO realizará una migración inicial sin honorario adicional hacia una cuenta AWS del Cliente o servidor compatible preparado por este. Incluye aplicación, base de datos, documentos, configuración, respaldo previo, una ventana de traslado, plan de reversión, validación conjunta y entrega segura de accesos e instrucciones. El Cliente paga los recursos y licencias de destino y garantiza su disponibilidad oportuna.</w:t>
      </w:r>
    </w:p>
    <w:p>
      <w:r>
        <w:rPr>
          <w:b w:val="0"/>
          <w:color w:val="242021"/>
        </w:rPr>
        <w:t>Antes de ejecutar, ambas partes aprobarán inventario, compatibilidad, responsables, interrupción prevista y pruebas de salida. Sustituir servicios por tecnologías no compatibles, rediseñar arquitectura, agregar funciones o ejecutar traslados adicionales requiere cambio aprobado. Corregir errores de MACAO en la migración incluida no constituye traslado adicional facturable.</w:t>
      </w:r>
    </w:p>
    <w:p>
      <w:r>
        <w:rPr>
          <w:b w:val="0"/>
          <w:color w:val="242021"/>
        </w:rPr>
        <w:t>El acta de migración registrará la validación de acceso, expedientes, adjuntos, correo, permisos y exportación, así como la transferencia de administración. Los defectos de ejecución del traslado reportados dentro de quince días calendario se corregirán sin costo; este compromiso no reinicia la garantía general de desarrollo.</w:t>
      </w:r>
    </w:p>
    <w:p>
      <w:r>
        <w:rPr>
          <w:b w:val="0"/>
          <w:color w:val="242021"/>
        </w:rPr>
        <w:t>Si el destino se retrasa, se acordará una extensión temporal o un cierre ordenado. No se exige alojamiento gratuito indefinido ni se generarán cargos sin acuerdo. MACAO comunicará cualquier fecha de cese con treinta días de anticipación y facilitará la salida de datos. La conservación transitoria y eliminación posterior se documentarán según la cláusula 18.</w:t>
      </w:r>
    </w:p>
    <w:p>
      <w:pPr>
        <w:pStyle w:val="Heading2"/>
      </w:pPr>
      <w:r>
        <w:rPr>
          <w:color w:val="000000"/>
        </w:rPr>
        <w:t>18 Terminación y devolución de información</w:t>
      </w:r>
    </w:p>
    <w:p>
      <w:r>
        <w:rPr>
          <w:b w:val="0"/>
          <w:color w:val="242021"/>
        </w:rPr>
        <w:t>Cualquiera de las partes podrá resolver por incumplimiento material no subsanado dentro de quince días hábiles de notificación motivada. Si la subsanación requiere más tiempo y es razonable, acordarán un plan. La mora requiere requerimiento previo; cualquier suspensión será proporcional, avisada y compatible con la preservación de datos. Ante amenaza de seguridad se permite contención inmediata con comunicación oportuna.</w:t>
      </w:r>
    </w:p>
    <w:p>
      <w:r>
        <w:rPr>
          <w:b w:val="0"/>
          <w:color w:val="242021"/>
        </w:rPr>
        <w:t>AFP Occidente podrá terminar anticipadamente por conveniencia con treinta días de aviso. Se liquidarán entregables y trabajo verificable efectivamente realizado, así como costos de terceros previamente autorizados y no recuperables, sin exceder el precio del alcance contratado. Los anticipos no devengados se devolverán dentro de treinta días de la liquidación. Se entregará el trabajo pagado en su estado disponible, con los derechos y límites aplicables.</w:t>
      </w:r>
    </w:p>
    <w:p>
      <w:r>
        <w:rPr>
          <w:b w:val="0"/>
          <w:color w:val="242021"/>
        </w:rPr>
        <w:t>MACAO devolverá expedientes, adjuntos y datos en formatos utilizables, sin exigir compra del fuente ni retenerlos por disputas de pago. Tras confirmar la recepción, las partes fijarán eliminación de copias y vencimiento de respaldos, con constancia y salvedad de conservación legal. Las copias transitorias no se usarán operativamente. Las obligaciones de reserva, pagos devengados y licencia pagada sobreviven al cierre.</w:t>
      </w:r>
    </w:p>
    <w:p>
      <w:pPr>
        <w:spacing w:line="20" w:lineRule="exact" w:before="0" w:after="0"/>
      </w:pPr>
      <w:r>
        <w:rPr>
          <w:color w:val="242021"/>
          <w:sz w:val="2"/>
        </w:rPr>
        <w:br w:type="page"/>
      </w:r>
    </w:p>
    <w:p>
      <w:pPr>
        <w:pStyle w:val="Heading1"/>
      </w:pPr>
      <w:r>
        <w:rPr>
          <w:color w:val="000000"/>
        </w:rPr>
        <w:t>19 Responsabilidad y solución de diferencias</w:t>
      </w:r>
    </w:p>
    <w:p>
      <w:r>
        <w:rPr>
          <w:b w:val="0"/>
          <w:color w:val="242021"/>
        </w:rPr>
        <w:t>Cada parte responderá por daños directos comprobados que sean consecuencia de su incumplimiento y adoptará medidas razonables para mitigarlos. La responsabilidad acumulada ordinaria de cada parte se limita al precio base del desarrollo contratado más los servicios recurrentes pagados en los doce meses anteriores al hecho. No se incluyen impuestos para calcular ese límite.</w:t>
      </w:r>
    </w:p>
    <w:p>
      <w:r>
        <w:rPr>
          <w:b w:val="0"/>
          <w:color w:val="242021"/>
        </w:rPr>
        <w:t>El límite y la exclusión de daños indirectos no se aplican a dolo, culpa grave ni responsabilidades que legalmente no puedan limitarse. Para incumplimientos de confidencialidad, protección de datos o derechos de propiedad intelectual se establece un límite especial del doble del límite ordinario, salvo las excepciones anteriores. Las obligaciones de pago, devolución de anticipos no devengados y restitución de datos no quedan reducidas por esos límites.</w:t>
      </w:r>
    </w:p>
    <w:p>
      <w:r>
        <w:rPr>
          <w:b w:val="0"/>
          <w:color w:val="242021"/>
        </w:rPr>
        <w:t>Ninguna parte responderá por hechos de fuerza mayor fuera de su control razonable en la medida de su impacto, siempre que informe, mitigue y retome las obligaciones posibles. Si el impedimento supera treinta días calendario, cualquiera podrá solicitar terminación con liquidación de lo ejecutado. Una falla de proveedor no exime por errores propios de selección, configuración o recuperación comprometida.</w:t>
      </w:r>
    </w:p>
    <w:p>
      <w:r>
        <w:rPr>
          <w:b w:val="0"/>
          <w:color w:val="242021"/>
        </w:rPr>
        <w:t>Las partes intentarán resolver diferencias mediante sus responsables designados y, si persisten, sus representantes legales, durante quince días hábiles desde la notificación. Se aplicará la legislación de Honduras y la competencia de los tribunales que corresponda legalmente, sin perjuicio de medidas urgentes. Un arbitraje requerirá acuerdo escrito específico.</w:t>
      </w:r>
    </w:p>
    <w:p>
      <w:pPr>
        <w:pStyle w:val="Heading2"/>
      </w:pPr>
      <w:r>
        <w:rPr>
          <w:color w:val="000000"/>
        </w:rPr>
        <w:t>20 Notificaciones y disposiciones finales</w:t>
      </w:r>
    </w:p>
    <w:p>
      <w:r>
        <w:rPr>
          <w:b w:val="0"/>
          <w:color w:val="242021"/>
        </w:rPr>
        <w:t>Los correos autorizados constan en el Anexo B. Los cambios económicos y la contratación de opciones requieren aprobación de representantes facultados; las comunicaciones de seguimiento no bastan para modificar el contrato. Si un correo resulta rechazado, se utilizará un medio alternativo con constancia de recepción. Las firmas, poderes y forma de suscripción serán verificados por las partes.</w:t>
      </w:r>
    </w:p>
    <w:p>
      <w:r>
        <w:rPr>
          <w:b w:val="0"/>
          <w:color w:val="242021"/>
        </w:rPr>
        <w:t>El contrato no crea relación laboral, sociedad ni representación entre las partes. MACAO responderá por su personal y subcontratistas autorizados en la ejecución. La invalidez de una disposición no afecta las restantes y se procurará sustituirla por una válida de efecto compatible. No se alteran los derechos imperativos aplicables.</w:t>
      </w:r>
    </w:p>
    <w:p>
      <w:pPr>
        <w:pStyle w:val="Heading2"/>
      </w:pPr>
      <w:r>
        <w:rPr>
          <w:color w:val="000000"/>
        </w:rPr>
        <w:t>21 Firma de las partes</w:t>
      </w:r>
    </w:p>
    <w:p>
      <w:r>
        <w:rPr>
          <w:b w:val="0"/>
          <w:color w:val="242021"/>
        </w:rPr>
        <w:t>En señal de conformidad, las partes suscriben el presente contrato y sus anexos en ____________________, a los ______ días del mes de ____________________ de __________.</w:t>
      </w:r>
    </w:p>
    <w:p>
      <w:r>
        <w:rPr>
          <w:b/>
          <w:color w:val="242021"/>
        </w:rPr>
        <w:t>MACAO Solutions S. de R.L.</w:t>
      </w:r>
    </w:p>
    <w:p>
      <w:r>
        <w:rPr>
          <w:rFonts w:ascii="Calibri" w:hAnsi="Calibri"/>
          <w:b w:val="0"/>
          <w:color w:val="242021"/>
          <w:sz w:val="20"/>
        </w:rPr>
        <w:t>Representante y cargo: Carlos Arturo Caceres Zepeda, Gerente General</w:t>
      </w:r>
    </w:p>
    <w:p>
      <w:r>
        <w:rPr>
          <w:rFonts w:ascii="Calibri" w:hAnsi="Calibri"/>
          <w:b w:val="0"/>
          <w:color w:val="242021"/>
          <w:sz w:val="20"/>
        </w:rPr>
        <w:t>Firma: ____________________________    Fecha: ____________________________</w:t>
      </w:r>
    </w:p>
    <w:p>
      <w:r>
        <w:rPr>
          <w:b/>
          <w:color w:val="242021"/>
        </w:rPr>
        <w:t>AFP Occidente</w:t>
      </w:r>
    </w:p>
    <w:p>
      <w:r>
        <w:rPr>
          <w:rFonts w:ascii="Calibri" w:hAnsi="Calibri"/>
          <w:b w:val="0"/>
          <w:color w:val="242021"/>
          <w:sz w:val="20"/>
        </w:rPr>
        <w:t>Representante y cargo: __________________________________________________</w:t>
      </w:r>
    </w:p>
    <w:p>
      <w:r>
        <w:rPr>
          <w:rFonts w:ascii="Calibri" w:hAnsi="Calibri"/>
          <w:b w:val="0"/>
          <w:color w:val="242021"/>
          <w:sz w:val="20"/>
        </w:rPr>
        <w:t>Firma: ____________________________    Fecha: ____________________________</w:t>
      </w:r>
    </w:p>
    <w:p>
      <w:pPr>
        <w:spacing w:line="20" w:lineRule="exact" w:before="0" w:after="0"/>
      </w:pPr>
      <w:r>
        <w:rPr>
          <w:color w:val="242021"/>
          <w:sz w:val="2"/>
        </w:rPr>
        <w:br w:type="page"/>
      </w:r>
    </w:p>
    <w:p>
      <w:pPr>
        <w:pStyle w:val="Heading1"/>
      </w:pPr>
      <w:r>
        <w:rPr>
          <w:color w:val="000000"/>
        </w:rPr>
        <w:t>Anexo B Ficha técnica y operativa</w:t>
      </w:r>
    </w:p>
    <w:p>
      <w:r>
        <w:rPr>
          <w:b w:val="0"/>
          <w:color w:val="242021"/>
        </w:rPr>
        <w:t>Las partes registrarán en esta ficha los datos de contratación y las decisiones técnicas de ejecución. La identidad, facultades y contactos se documentarán al suscribir el contrato; el dimensionamiento y las pruebas se precisarán en la semana 1; los controles de datos y recuperación se aprobarán antes de producción. La capacidad y las obligaciones operativas serán las expresamente acordadas.</w:t>
      </w:r>
    </w:p>
    <w:tbl>
      <w:tblPr>
        <w:tblW w:type="auto" w:w="0"/>
        <w:jc w:val="center"/>
        <w:tblLayout w:type="fixed"/>
        <w:tblLook w:firstColumn="1" w:firstRow="1" w:lastColumn="0" w:lastRow="0" w:noHBand="0" w:noVBand="1" w:val="04A0"/>
        <w:tblCellMar>
          <w:top w:w="65" w:type="dxa"/>
          <w:left w:w="90" w:type="dxa"/>
          <w:bottom w:w="65" w:type="dxa"/>
          <w:right w:w="90"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shd w:fill="242021"/>
            <w:tcBorders>
              <w:bottom w:val="single" w:sz="8" w:color="FF0006"/>
            </w:tcBorders>
          </w:tcPr>
          <w:p>
            <w:pPr>
              <w:spacing w:after="20" w:before="20" w:line="245" w:lineRule="auto"/>
            </w:pPr>
            <w:r>
              <w:rPr>
                <w:b/>
                <w:color w:val="FFFFFF"/>
                <w:sz w:val="20"/>
              </w:rPr>
              <w:t>Dato o decisión</w:t>
            </w:r>
          </w:p>
        </w:tc>
        <w:tc>
          <w:tcPr>
            <w:tcW w:type="dxa" w:w="7056"/>
            <w:vAlign w:val="center"/>
            <w:shd w:fill="242021"/>
            <w:tcBorders>
              <w:bottom w:val="single" w:sz="8" w:color="FF0006"/>
            </w:tcBorders>
          </w:tcPr>
          <w:p>
            <w:pPr>
              <w:spacing w:after="20" w:before="20" w:line="245" w:lineRule="auto"/>
            </w:pPr>
            <w:r>
              <w:rPr>
                <w:b/>
                <w:color w:val="FFFFFF"/>
                <w:sz w:val="20"/>
              </w:rPr>
              <w:t>Registro de acuerdos</w:t>
            </w:r>
          </w:p>
        </w:tc>
      </w:tr>
      <w:tr>
        <w:trPr>
          <w:cantSplit/>
        </w:trPr>
        <w:tc>
          <w:tcPr>
            <w:tcW w:type="dxa" w:w="2880"/>
            <w:vAlign w:val="center"/>
            <w:shd w:fill="FFFFFF"/>
          </w:tcPr>
          <w:p>
            <w:pPr>
              <w:spacing w:after="20" w:before="20" w:line="245" w:lineRule="auto"/>
            </w:pPr>
            <w:r>
              <w:rPr>
                <w:b w:val="0"/>
                <w:color w:val="242021"/>
                <w:sz w:val="20"/>
              </w:rPr>
              <w:t>Referencia de contratación</w:t>
            </w:r>
          </w:p>
        </w:tc>
        <w:tc>
          <w:tcPr>
            <w:tcW w:type="dxa" w:w="7056"/>
            <w:vAlign w:val="center"/>
            <w:shd w:fill="FFFFFF"/>
          </w:tcPr>
          <w:p>
            <w:pPr>
              <w:spacing w:after="20" w:before="20" w:line="245" w:lineRule="auto"/>
            </w:pPr>
            <w:r>
              <w:rPr>
                <w:b w:val="0"/>
                <w:color w:val="242021"/>
                <w:sz w:val="20"/>
              </w:rPr>
              <w:t>Orden de compra u otra referencia administrativa, cuando corresponda: ____________________</w:t>
            </w:r>
          </w:p>
        </w:tc>
      </w:tr>
      <w:tr>
        <w:trPr>
          <w:cantSplit/>
        </w:trPr>
        <w:tc>
          <w:tcPr>
            <w:tcW w:type="dxa" w:w="2880"/>
            <w:vAlign w:val="center"/>
            <w:shd w:fill="F5F5F5"/>
          </w:tcPr>
          <w:p>
            <w:pPr>
              <w:spacing w:after="20" w:before="20" w:line="245" w:lineRule="auto"/>
            </w:pPr>
            <w:r>
              <w:rPr>
                <w:b w:val="0"/>
                <w:color w:val="242021"/>
                <w:sz w:val="20"/>
              </w:rPr>
              <w:t>Datos legales y facturación</w:t>
            </w:r>
          </w:p>
        </w:tc>
        <w:tc>
          <w:tcPr>
            <w:tcW w:type="dxa" w:w="7056"/>
            <w:vAlign w:val="center"/>
            <w:shd w:fill="F5F5F5"/>
          </w:tcPr>
          <w:p>
            <w:pPr>
              <w:spacing w:after="20" w:before="20" w:line="245" w:lineRule="auto"/>
            </w:pPr>
            <w:r>
              <w:rPr>
                <w:b w:val="0"/>
                <w:color w:val="242021"/>
                <w:sz w:val="20"/>
              </w:rPr>
              <w:t>MACAO: datos consignados en la cláusula 1. Datos legales y de facturación del Cliente: ____________________</w:t>
            </w:r>
          </w:p>
        </w:tc>
      </w:tr>
      <w:tr>
        <w:trPr>
          <w:cantSplit/>
        </w:trPr>
        <w:tc>
          <w:tcPr>
            <w:tcW w:type="dxa" w:w="2880"/>
            <w:vAlign w:val="center"/>
            <w:shd w:fill="FFFFFF"/>
          </w:tcPr>
          <w:p>
            <w:pPr>
              <w:spacing w:after="20" w:before="20" w:line="245" w:lineRule="auto"/>
            </w:pPr>
            <w:r>
              <w:rPr>
                <w:b w:val="0"/>
                <w:color w:val="242021"/>
                <w:sz w:val="20"/>
              </w:rPr>
              <w:t>Responsables y notificaciones</w:t>
            </w:r>
          </w:p>
        </w:tc>
        <w:tc>
          <w:tcPr>
            <w:tcW w:type="dxa" w:w="7056"/>
            <w:vAlign w:val="center"/>
            <w:shd w:fill="FFFFFF"/>
          </w:tcPr>
          <w:p>
            <w:pPr>
              <w:spacing w:after="20" w:before="20" w:line="245" w:lineRule="auto"/>
            </w:pPr>
            <w:r>
              <w:rPr>
                <w:b w:val="0"/>
                <w:color w:val="242021"/>
                <w:sz w:val="20"/>
              </w:rPr>
              <w:t>Contactos operativos y económicos; correos y canal de incidentes: ____________________</w:t>
            </w:r>
          </w:p>
        </w:tc>
      </w:tr>
      <w:tr>
        <w:trPr>
          <w:cantSplit/>
        </w:trPr>
        <w:tc>
          <w:tcPr>
            <w:tcW w:type="dxa" w:w="2880"/>
            <w:vAlign w:val="center"/>
            <w:shd w:fill="F5F5F5"/>
          </w:tcPr>
          <w:p>
            <w:pPr>
              <w:spacing w:after="20" w:before="20" w:line="245" w:lineRule="auto"/>
            </w:pPr>
            <w:r>
              <w:rPr>
                <w:b w:val="0"/>
                <w:color w:val="242021"/>
                <w:sz w:val="20"/>
              </w:rPr>
              <w:t>Calendario y sesiones</w:t>
            </w:r>
          </w:p>
        </w:tc>
        <w:tc>
          <w:tcPr>
            <w:tcW w:type="dxa" w:w="7056"/>
            <w:vAlign w:val="center"/>
            <w:shd w:fill="F5F5F5"/>
          </w:tcPr>
          <w:p>
            <w:pPr>
              <w:spacing w:after="20" w:before="20" w:line="245" w:lineRule="auto"/>
            </w:pPr>
            <w:r>
              <w:rPr>
                <w:b w:val="0"/>
                <w:color w:val="242021"/>
                <w:sz w:val="20"/>
              </w:rPr>
              <w:t>Inicio real, ciudad, sábados, capacitación y responsables UAT: ____________________</w:t>
            </w:r>
          </w:p>
        </w:tc>
      </w:tr>
      <w:tr>
        <w:trPr>
          <w:cantSplit/>
        </w:trPr>
        <w:tc>
          <w:tcPr>
            <w:tcW w:type="dxa" w:w="2880"/>
            <w:vAlign w:val="center"/>
            <w:shd w:fill="FFFFFF"/>
          </w:tcPr>
          <w:p>
            <w:pPr>
              <w:spacing w:after="20" w:before="20" w:line="245" w:lineRule="auto"/>
            </w:pPr>
            <w:r>
              <w:rPr>
                <w:b w:val="0"/>
                <w:color w:val="242021"/>
                <w:sz w:val="20"/>
              </w:rPr>
              <w:t>Cuenta y ubicación</w:t>
            </w:r>
          </w:p>
        </w:tc>
        <w:tc>
          <w:tcPr>
            <w:tcW w:type="dxa" w:w="7056"/>
            <w:vAlign w:val="center"/>
            <w:shd w:fill="FFFFFF"/>
          </w:tcPr>
          <w:p>
            <w:pPr>
              <w:spacing w:after="20" w:before="20" w:line="245" w:lineRule="auto"/>
            </w:pPr>
            <w:r>
              <w:rPr>
                <w:b w:val="0"/>
                <w:color w:val="242021"/>
                <w:sz w:val="20"/>
              </w:rPr>
              <w:t>Titular AWS, región, aislamiento, administradores y acceso de contingencia: ____________________</w:t>
            </w:r>
          </w:p>
        </w:tc>
      </w:tr>
      <w:tr>
        <w:trPr>
          <w:cantSplit/>
        </w:trPr>
        <w:tc>
          <w:tcPr>
            <w:tcW w:type="dxa" w:w="2880"/>
            <w:vAlign w:val="center"/>
            <w:shd w:fill="F5F5F5"/>
          </w:tcPr>
          <w:p>
            <w:pPr>
              <w:spacing w:after="20" w:before="20" w:line="245" w:lineRule="auto"/>
            </w:pPr>
            <w:r>
              <w:rPr>
                <w:b w:val="0"/>
                <w:color w:val="242021"/>
                <w:sz w:val="20"/>
              </w:rPr>
              <w:t>Capacidad base</w:t>
            </w:r>
          </w:p>
        </w:tc>
        <w:tc>
          <w:tcPr>
            <w:tcW w:type="dxa" w:w="7056"/>
            <w:vAlign w:val="center"/>
            <w:shd w:fill="F5F5F5"/>
          </w:tcPr>
          <w:p>
            <w:pPr>
              <w:spacing w:after="20" w:before="20" w:line="245" w:lineRule="auto"/>
            </w:pPr>
            <w:r>
              <w:rPr>
                <w:b w:val="0"/>
                <w:color w:val="242021"/>
                <w:sz w:val="20"/>
              </w:rPr>
              <w:t>Instancias, almacenamiento de BD y documentos, tráfico, usuarios concurrentes y expedientes previstos: ____________________</w:t>
            </w:r>
          </w:p>
        </w:tc>
      </w:tr>
      <w:tr>
        <w:trPr>
          <w:cantSplit/>
        </w:trPr>
        <w:tc>
          <w:tcPr>
            <w:tcW w:type="dxa" w:w="2880"/>
            <w:vAlign w:val="center"/>
            <w:shd w:fill="FFFFFF"/>
          </w:tcPr>
          <w:p>
            <w:pPr>
              <w:spacing w:after="20" w:before="20" w:line="245" w:lineRule="auto"/>
            </w:pPr>
            <w:r>
              <w:rPr>
                <w:b w:val="0"/>
                <w:color w:val="242021"/>
                <w:sz w:val="20"/>
              </w:rPr>
              <w:t>Datos y proveedores autorizados</w:t>
            </w:r>
          </w:p>
        </w:tc>
        <w:tc>
          <w:tcPr>
            <w:tcW w:type="dxa" w:w="7056"/>
            <w:vAlign w:val="center"/>
            <w:shd w:fill="FFFFFF"/>
          </w:tcPr>
          <w:p>
            <w:pPr>
              <w:spacing w:after="20" w:before="20" w:line="245" w:lineRule="auto"/>
            </w:pPr>
            <w:r>
              <w:rPr>
                <w:b w:val="0"/>
                <w:color w:val="242021"/>
                <w:sz w:val="20"/>
              </w:rPr>
              <w:t>Categorías, correo, IA, regiones, retención y restricciones de uso: ____________________</w:t>
            </w:r>
          </w:p>
        </w:tc>
      </w:tr>
      <w:tr>
        <w:trPr>
          <w:cantSplit/>
        </w:trPr>
        <w:tc>
          <w:tcPr>
            <w:tcW w:type="dxa" w:w="2880"/>
            <w:vAlign w:val="center"/>
            <w:shd w:fill="F5F5F5"/>
          </w:tcPr>
          <w:p>
            <w:pPr>
              <w:spacing w:after="20" w:before="20" w:line="245" w:lineRule="auto"/>
            </w:pPr>
            <w:r>
              <w:rPr>
                <w:b w:val="0"/>
                <w:color w:val="242021"/>
                <w:sz w:val="20"/>
              </w:rPr>
              <w:t>Respaldo y recuperación</w:t>
            </w:r>
          </w:p>
        </w:tc>
        <w:tc>
          <w:tcPr>
            <w:tcW w:type="dxa" w:w="7056"/>
            <w:vAlign w:val="center"/>
            <w:shd w:fill="F5F5F5"/>
          </w:tcPr>
          <w:p>
            <w:pPr>
              <w:spacing w:after="20" w:before="20" w:line="245" w:lineRule="auto"/>
            </w:pPr>
            <w:r>
              <w:rPr>
                <w:b w:val="0"/>
                <w:color w:val="242021"/>
                <w:sz w:val="20"/>
              </w:rPr>
              <w:t>Frecuencia, retención, ubicación, cifrado, prueba de restauración, RPO y RTO: ____________________</w:t>
            </w:r>
          </w:p>
        </w:tc>
      </w:tr>
      <w:tr>
        <w:trPr>
          <w:cantSplit/>
        </w:trPr>
        <w:tc>
          <w:tcPr>
            <w:tcW w:type="dxa" w:w="2880"/>
            <w:vAlign w:val="center"/>
            <w:shd w:fill="FFFFFF"/>
          </w:tcPr>
          <w:p>
            <w:pPr>
              <w:spacing w:after="20" w:before="20" w:line="245" w:lineRule="auto"/>
            </w:pPr>
            <w:r>
              <w:rPr>
                <w:b w:val="0"/>
                <w:color w:val="242021"/>
                <w:sz w:val="20"/>
              </w:rPr>
              <w:t>Administración incluida</w:t>
            </w:r>
          </w:p>
        </w:tc>
        <w:tc>
          <w:tcPr>
            <w:tcW w:type="dxa" w:w="7056"/>
            <w:vAlign w:val="center"/>
            <w:shd w:fill="FFFFFF"/>
          </w:tcPr>
          <w:p>
            <w:pPr>
              <w:spacing w:after="20" w:before="20" w:line="245" w:lineRule="auto"/>
            </w:pPr>
            <w:r>
              <w:rPr>
                <w:b w:val="0"/>
                <w:color w:val="242021"/>
                <w:sz w:val="20"/>
              </w:rPr>
              <w:t>Tareas, frecuencias, responsables y alcance de monitoreo en horario hábil: ____________________</w:t>
            </w:r>
          </w:p>
        </w:tc>
      </w:tr>
      <w:tr>
        <w:trPr>
          <w:cantSplit/>
        </w:trPr>
        <w:tc>
          <w:tcPr>
            <w:tcW w:type="dxa" w:w="2880"/>
            <w:vAlign w:val="center"/>
            <w:shd w:fill="F5F5F5"/>
          </w:tcPr>
          <w:p>
            <w:pPr>
              <w:spacing w:after="20" w:before="20" w:line="245" w:lineRule="auto"/>
            </w:pPr>
            <w:r>
              <w:rPr>
                <w:b w:val="0"/>
                <w:color w:val="242021"/>
                <w:sz w:val="20"/>
              </w:rPr>
              <w:t>Cortesía y salida</w:t>
            </w:r>
          </w:p>
        </w:tc>
        <w:tc>
          <w:tcPr>
            <w:tcW w:type="dxa" w:w="7056"/>
            <w:vAlign w:val="center"/>
            <w:shd w:fill="F5F5F5"/>
          </w:tcPr>
          <w:p>
            <w:pPr>
              <w:spacing w:after="20" w:before="20" w:line="245" w:lineRule="auto"/>
            </w:pPr>
            <w:r>
              <w:rPr>
                <w:b w:val="0"/>
                <w:color w:val="242021"/>
                <w:sz w:val="20"/>
              </w:rPr>
              <w:t>Inicio y fin de los seis meses, reunión del quinto mes, destino y ventana de migración: ____________________</w:t>
            </w:r>
          </w:p>
        </w:tc>
      </w:tr>
      <w:tr>
        <w:trPr>
          <w:cantSplit/>
        </w:trPr>
        <w:tc>
          <w:tcPr>
            <w:tcW w:type="dxa" w:w="2880"/>
            <w:vAlign w:val="center"/>
            <w:shd w:fill="FFFFFF"/>
          </w:tcPr>
          <w:p>
            <w:pPr>
              <w:spacing w:after="20" w:before="20" w:line="245" w:lineRule="auto"/>
            </w:pPr>
            <w:r>
              <w:rPr>
                <w:b w:val="0"/>
                <w:color w:val="242021"/>
                <w:sz w:val="20"/>
              </w:rPr>
              <w:t>Revisión y contingencia</w:t>
            </w:r>
          </w:p>
        </w:tc>
        <w:tc>
          <w:tcPr>
            <w:tcW w:type="dxa" w:w="7056"/>
            <w:vAlign w:val="center"/>
            <w:shd w:fill="FFFFFF"/>
          </w:tcPr>
          <w:p>
            <w:pPr>
              <w:spacing w:after="20" w:before="20" w:line="245" w:lineRule="auto"/>
            </w:pPr>
            <w:r>
              <w:rPr>
                <w:b w:val="0"/>
                <w:color w:val="242021"/>
                <w:sz w:val="20"/>
              </w:rPr>
              <w:t>Requisitos del Cliente y trámites; custodio del fuente, actualizaciones, liberación y costos: ____________________</w:t>
            </w:r>
          </w:p>
        </w:tc>
      </w:tr>
    </w:tbl>
    <w:p>
      <w:pPr>
        <w:spacing w:after="160" w:line="20" w:lineRule="exact" w:before="0"/>
      </w:pPr>
    </w:p>
    <w:p>
      <w:pPr>
        <w:pStyle w:val="Heading2"/>
      </w:pPr>
      <w:r>
        <w:rPr>
          <w:color w:val="000000"/>
        </w:rPr>
        <w:t>Matriz de aceptación a desarrollar</w:t>
      </w:r>
    </w:p>
    <w:p>
      <w:r>
        <w:rPr>
          <w:b w:val="0"/>
          <w:color w:val="242021"/>
        </w:rPr>
        <w:t>Cada escenario tendrá identificador, requisito del Anexo A, datos de prueba autorizados, resultado esperado, evidencia, responsable y estado. Cubrirá formularios y correo; QR y adjuntos privados; reglas y evidencia; permisos internos y externos; aprobación humana; bitácora y exportación; respaldo y restauración; capacitación y documentación. Se validarán errores y accesos denegados además del recorrido satisfactorio.</w:t>
      </w:r>
    </w:p>
    <w:p>
      <w:pPr>
        <w:pStyle w:val="Heading2"/>
      </w:pPr>
      <w:r>
        <w:rPr>
          <w:color w:val="000000"/>
        </w:rPr>
        <w:t>Activación de opciones</w:t>
      </w:r>
    </w:p>
    <w:p>
      <w:r>
        <w:rPr>
          <w:b w:val="0"/>
          <w:color w:val="242021"/>
        </w:rPr>
        <w:t>Los planes pagados y la entrega del código fuente se contratan por separado. Cada activación registrará servicio, precio e ISV, inicio, vigencia, capacidad, bolsa de horas, forma de pago, renovación y firmas autorizadas, conforme a las cláusulas 15 y 16.</w:t>
      </w:r>
    </w:p>
    <w:sectPr w:rsidR="00FC693F" w:rsidRPr="0006063C" w:rsidSect="00034616">
      <w:headerReference w:type="default" r:id="rId9"/>
      <w:footerReference w:type="default" r:id="rId10"/>
      <w:pgSz w:w="12240" w:h="15840"/>
      <w:pgMar w:top="1584" w:right="1152" w:bottom="979" w:left="1152" w:header="34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spacing w:before="0" w:after="0"/>
      <w:jc w:val="left"/>
      <w:pBdr>
        <w:top w:val="single" w:sz="4" w:space="7" w:color="D9D9D9"/>
      </w:pBdr>
    </w:pPr>
    <w:r>
      <w:rPr>
        <w:rFonts w:ascii="Calibri" w:hAnsi="Calibri"/>
        <w:color w:val="666666"/>
        <w:sz w:val="16"/>
      </w:rPr>
      <w:t>CONT AFP 2026 001  |  v1.0</w:t>
    </w:r>
    <w:r>
      <w:rPr>
        <w:rFonts w:ascii="Calibri" w:hAnsi="Calibri"/>
        <w:color w:val="666666"/>
        <w:sz w:val="16"/>
      </w:rPr>
      <w:tab/>
    </w:r>
    <w:fldSimple w:instr="PAGE">
      <w:r>
        <w:rPr>
          <w:sz w:val="16"/>
          <w:color w:val="666666"/>
        </w:rPr>
        <w:t>1</w:t>
      </w:r>
    </w:fldSimple>
    <w:r>
      <w:rPr>
        <w:rFonts w:ascii="Calibri" w:hAnsi="Calibri"/>
        <w:color w:val="666666"/>
        <w:sz w:val="16"/>
      </w:rPr>
      <w:t xml:space="preserve"> / </w:t>
    </w:r>
    <w:fldSimple w:instr="NUMPAGES">
      <w:r>
        <w:rPr>
          <w:sz w:val="16"/>
          <w:color w:val="66666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9" w:val="left"/>
        <w:tab w:pos="9936" w:val="right"/>
      </w:tabs>
      <w:spacing w:before="0" w:after="0" w:line="240" w:lineRule="auto"/>
      <w:pBdr>
        <w:bottom w:val="single" w:sz="8" w:space="5" w:color="FF0006"/>
      </w:pBdr>
    </w:pPr>
    <w:r>
      <w:drawing>
        <wp:inline xmlns:a="http://schemas.openxmlformats.org/drawingml/2006/main" xmlns:pic="http://schemas.openxmlformats.org/drawingml/2006/picture">
          <wp:extent cx="366677" cy="457200"/>
          <wp:docPr id="1" name="Picture 1" descr="MACAO Solutions"/>
          <wp:cNvGraphicFramePr>
            <a:graphicFrameLocks noChangeAspect="1"/>
          </wp:cNvGraphicFramePr>
          <a:graphic>
            <a:graphicData uri="http://schemas.openxmlformats.org/drawingml/2006/picture">
              <pic:pic>
                <pic:nvPicPr>
                  <pic:cNvPr id="0" name="LogoMACAO.png"/>
                  <pic:cNvPicPr/>
                </pic:nvPicPr>
                <pic:blipFill>
                  <a:blip r:embed="rId1"/>
                  <a:stretch>
                    <a:fillRect/>
                  </a:stretch>
                </pic:blipFill>
                <pic:spPr>
                  <a:xfrm>
                    <a:off x="0" y="0"/>
                    <a:ext cx="366677" cy="457200"/>
                  </a:xfrm>
                  <a:prstGeom prst="rect"/>
                </pic:spPr>
              </pic:pic>
            </a:graphicData>
          </a:graphic>
        </wp:inline>
      </w:drawing>
    </w:r>
    <w:r>
      <w:rPr>
        <w:rFonts w:ascii="Calibri" w:hAnsi="Calibri"/>
        <w:b/>
        <w:color w:val="000000"/>
        <w:sz w:val="18"/>
        <w:position w:val="19"/>
      </w:rPr>
      <w:tab/>
      <w:t>MACAO Solutions S. de R.L.</w:t>
    </w:r>
    <w:r>
      <w:tab/>
    </w:r>
    <w:r>
      <w:drawing>
        <wp:inline xmlns:a="http://schemas.openxmlformats.org/drawingml/2006/main" xmlns:pic="http://schemas.openxmlformats.org/drawingml/2006/picture">
          <wp:extent cx="1389888" cy="551817"/>
          <wp:docPr id="2" name="Picture 2" descr="AFP Occidente"/>
          <wp:cNvGraphicFramePr>
            <a:graphicFrameLocks noChangeAspect="1"/>
          </wp:cNvGraphicFramePr>
          <a:graphic>
            <a:graphicData uri="http://schemas.openxmlformats.org/drawingml/2006/picture">
              <pic:pic>
                <pic:nvPicPr>
                  <pic:cNvPr id="0" name="afpc-occidente-logo.png"/>
                  <pic:cNvPicPr/>
                </pic:nvPicPr>
                <pic:blipFill>
                  <a:blip r:embed="rId2"/>
                  <a:stretch>
                    <a:fillRect/>
                  </a:stretch>
                </pic:blipFill>
                <pic:spPr>
                  <a:xfrm>
                    <a:off x="0" y="0"/>
                    <a:ext cx="1389888" cy="5518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Calibri" w:hAnsi="Calibri"/>
      <w:color w:val="242021"/>
      <w:sz w:val="22"/>
      <w:lang w:val="es-HN"/>
    </w:rPr>
  </w:style>
  <w:style w:type="paragraph" w:styleId="Header">
    <w:name w:val="header"/>
    <w:basedOn w:val="Normal"/>
    <w:link w:val="HeaderChar"/>
    <w:uiPriority w:val="99"/>
    <w:unhideWhenUsed/>
    <w:rsid w:val="00E618BF"/>
    <w:pPr>
      <w:spacing w:after="0" w:line="240" w:lineRule="auto"/>
    </w:pPr>
    <w:rPr>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line="257"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40" w:line="257"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7" w:lineRule="auto" w:before="0"/>
      <w:contextualSpacing/>
    </w:pPr>
    <w:rPr>
      <w:rFonts w:asciiTheme="majorHAnsi" w:eastAsiaTheme="majorEastAsia" w:hAnsiTheme="majorHAnsi" w:cstheme="majorBidi" w:ascii="Calibri" w:hAnsi="Calibri"/>
      <w:b/>
      <w:color w:val="000000"/>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after="120" w:line="257" w:lineRule="auto"/>
    </w:pPr>
    <w:rPr>
      <w:rFonts w:asciiTheme="majorHAnsi" w:eastAsiaTheme="majorEastAsia" w:hAnsiTheme="majorHAnsi" w:cstheme="majorBidi" w:ascii="Calibri" w:hAnsi="Calibri"/>
      <w:i w:val="0"/>
      <w:iCs/>
      <w:color w:val="000000"/>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7" w:lineRule="auto"/>
      <w:ind w:left="230" w:hanging="144"/>
      <w:contextualSpacing/>
    </w:pPr>
    <w:rPr>
      <w:rFonts w:ascii="Calibri" w:hAnsi="Calibri"/>
      <w:color w:val="242021"/>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desarrollo implementación y licencia de uso de software</dc:title>
  <dc:subject>Formalización de la Mesa de Control de Afiliaciones para AFP Occidente</dc:subject>
  <dc:creator>MACAO Solutions S. de R.L.</dc:creator>
  <cp:keywords>AFP Occidente, MACAO Solutions, formalización, contrato</cp:keywords>
  <dc:description/>
  <cp:lastModifiedBy>MACAO Solutions S. de R.L.</cp:lastModifiedBy>
  <cp:revision>2</cp:revision>
  <dcterms:created xsi:type="dcterms:W3CDTF">2013-12-23T23:15:00Z</dcterms:created>
  <dcterms:modified xsi:type="dcterms:W3CDTF">2013-12-23T23:15:00Z</dcterms:modified>
  <cp:category/>
</cp:coreProperties>
</file>