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Propuesta de formalización</w:t>
      </w:r>
    </w:p>
    <w:p>
      <w:pPr>
        <w:pStyle w:val="Subtitle"/>
      </w:pPr>
      <w:r>
        <w:t>Mesa de Control de Afiliaciones</w:t>
      </w:r>
    </w:p>
    <w:p>
      <w:r>
        <w:rPr>
          <w:b/>
        </w:rPr>
        <w:t>AFP Occidente</w:t>
      </w:r>
    </w:p>
    <w:p>
      <w:r>
        <w:rPr>
          <w:b w:val="0"/>
        </w:rPr>
        <w:t>MACAO Solutions S. de R.L. | 8 de septiembre de 2026 | Versión 1.6</w:t>
      </w:r>
    </w:p>
    <w:p>
      <w:r>
        <w:rPr>
          <w:b/>
        </w:rPr>
        <w:t>Condiciones técnicas y económicas del proyecto</w:t>
      </w:r>
    </w:p>
    <w:p>
      <w:r>
        <w:rPr>
          <w:b w:val="0"/>
        </w:rPr>
        <w:t>MACAO Solutions S. de R.L. presenta a AFP Occidente la propuesta para el desarrollo e implementación de la Mesa de Control de Afiliaciones, una solución orientada a facilitar la gestión y el seguimiento de las solicitudes de afiliación. Este documento describe el alcance, los entregables, el calendario y las condiciones económicas del proyecto, y forma parte del contrato como Anexo A.</w:t>
      </w:r>
    </w:p>
    <w:p>
      <w:r>
        <w:rPr>
          <w:b w:val="0"/>
        </w:rPr>
        <w:t>El proyecto incluye seis meses de alojamiento y administración básica de cortesía y una migración inicial conforme a las condiciones de este documento. Los planes de soporte y la entrega del código fuente son servicios opcionales que requieren contratación expresa por escrito.</w:t>
      </w:r>
    </w:p>
    <w:p>
      <w:pPr>
        <w:pStyle w:val="Heading2"/>
      </w:pPr>
      <w:r>
        <w:t>1 Resumen económico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600"/>
        <w:gridCol w:w="2016"/>
        <w:gridCol w:w="1944"/>
        <w:gridCol w:w="2376"/>
      </w:tblGrid>
      <w:tr>
        <w:trPr>
          <w:cantSplit/>
          <w:tblHeader/>
        </w:trPr>
        <w:tc>
          <w:tcPr>
            <w:tcW w:type="dxa" w:w="3600"/>
            <w:vAlign w:val="center"/>
            <w:shd w:fill="E8ECEF"/>
          </w:tcPr>
          <w:p>
            <w:pPr>
              <w:spacing w:after="20" w:before="20" w:line="245" w:lineRule="auto"/>
            </w:pPr>
            <w:r>
              <w:rPr>
                <w:b/>
                <w:sz w:val="20"/>
              </w:rPr>
              <w:t>Concepto</w:t>
            </w:r>
          </w:p>
        </w:tc>
        <w:tc>
          <w:tcPr>
            <w:tcW w:type="dxa" w:w="2016"/>
            <w:vAlign w:val="center"/>
            <w:shd w:fill="E8ECEF"/>
          </w:tcPr>
          <w:p>
            <w:pPr>
              <w:spacing w:after="20" w:before="20" w:line="245" w:lineRule="auto"/>
            </w:pPr>
            <w:r>
              <w:rPr>
                <w:b/>
                <w:sz w:val="20"/>
              </w:rPr>
              <w:t>Base</w:t>
            </w:r>
          </w:p>
        </w:tc>
        <w:tc>
          <w:tcPr>
            <w:tcW w:type="dxa" w:w="1944"/>
            <w:vAlign w:val="center"/>
            <w:shd w:fill="E8ECEF"/>
          </w:tcPr>
          <w:p>
            <w:pPr>
              <w:spacing w:after="20" w:before="20" w:line="245" w:lineRule="auto"/>
            </w:pPr>
            <w:r>
              <w:rPr>
                <w:b/>
                <w:sz w:val="20"/>
              </w:rPr>
              <w:t>ISV 15%</w:t>
            </w:r>
          </w:p>
        </w:tc>
        <w:tc>
          <w:tcPr>
            <w:tcW w:type="dxa" w:w="2376"/>
            <w:vAlign w:val="center"/>
            <w:shd w:fill="E8ECEF"/>
          </w:tcPr>
          <w:p>
            <w:pPr>
              <w:spacing w:after="20" w:before="20" w:line="245" w:lineRule="auto"/>
            </w:pPr>
            <w:r>
              <w:rPr>
                <w:b/>
                <w:sz w:val="20"/>
              </w:rPr>
              <w:t>Total</w:t>
            </w:r>
          </w:p>
        </w:tc>
      </w:tr>
      <w:tr>
        <w:trPr>
          <w:cantSplit/>
        </w:trPr>
        <w:tc>
          <w:tcPr>
            <w:tcW w:type="dxa" w:w="3600"/>
            <w:vAlign w:val="center"/>
            <w:shd w:fill="FFFFFF"/>
          </w:tcPr>
          <w:p>
            <w:pPr>
              <w:spacing w:after="20" w:before="20" w:line="245" w:lineRule="auto"/>
            </w:pPr>
            <w:r>
              <w:rPr>
                <w:b w:val="0"/>
                <w:sz w:val="20"/>
              </w:rPr>
              <w:t>Desarrollo e implementación</w:t>
            </w:r>
          </w:p>
        </w:tc>
        <w:tc>
          <w:tcPr>
            <w:tcW w:type="dxa" w:w="2016"/>
            <w:vAlign w:val="center"/>
            <w:shd w:fill="FFFFFF"/>
          </w:tcPr>
          <w:p>
            <w:pPr>
              <w:spacing w:after="20" w:before="20" w:line="245" w:lineRule="auto"/>
            </w:pPr>
            <w:r>
              <w:rPr>
                <w:b w:val="0"/>
                <w:sz w:val="20"/>
              </w:rPr>
              <w:t>L 190,000</w:t>
            </w:r>
          </w:p>
        </w:tc>
        <w:tc>
          <w:tcPr>
            <w:tcW w:type="dxa" w:w="1944"/>
            <w:vAlign w:val="center"/>
            <w:shd w:fill="FFFFFF"/>
          </w:tcPr>
          <w:p>
            <w:pPr>
              <w:spacing w:after="20" w:before="20" w:line="245" w:lineRule="auto"/>
            </w:pPr>
            <w:r>
              <w:rPr>
                <w:b w:val="0"/>
                <w:sz w:val="20"/>
              </w:rPr>
              <w:t>L 28,500</w:t>
            </w:r>
          </w:p>
        </w:tc>
        <w:tc>
          <w:tcPr>
            <w:tcW w:type="dxa" w:w="2376"/>
            <w:vAlign w:val="center"/>
            <w:shd w:fill="FFFFFF"/>
          </w:tcPr>
          <w:p>
            <w:pPr>
              <w:spacing w:after="20" w:before="20" w:line="245" w:lineRule="auto"/>
            </w:pPr>
            <w:r>
              <w:rPr>
                <w:b w:val="0"/>
                <w:sz w:val="20"/>
              </w:rPr>
              <w:t>L 218,500</w:t>
            </w:r>
          </w:p>
        </w:tc>
      </w:tr>
      <w:tr>
        <w:trPr>
          <w:cantSplit/>
        </w:trPr>
        <w:tc>
          <w:tcPr>
            <w:tcW w:type="dxa" w:w="3600"/>
            <w:vAlign w:val="center"/>
            <w:shd w:fill="F6F7F8"/>
          </w:tcPr>
          <w:p>
            <w:pPr>
              <w:spacing w:after="20" w:before="20" w:line="245" w:lineRule="auto"/>
            </w:pPr>
            <w:r>
              <w:rPr>
                <w:b w:val="0"/>
                <w:sz w:val="20"/>
              </w:rPr>
              <w:t>Primer pago del 50%</w:t>
            </w:r>
          </w:p>
        </w:tc>
        <w:tc>
          <w:tcPr>
            <w:tcW w:type="dxa" w:w="2016"/>
            <w:vAlign w:val="center"/>
            <w:shd w:fill="F6F7F8"/>
          </w:tcPr>
          <w:p>
            <w:pPr>
              <w:spacing w:after="20" w:before="20" w:line="245" w:lineRule="auto"/>
            </w:pPr>
            <w:r>
              <w:rPr>
                <w:b w:val="0"/>
                <w:sz w:val="20"/>
              </w:rPr>
              <w:t>L 95,000</w:t>
            </w:r>
          </w:p>
        </w:tc>
        <w:tc>
          <w:tcPr>
            <w:tcW w:type="dxa" w:w="1944"/>
            <w:vAlign w:val="center"/>
            <w:shd w:fill="F6F7F8"/>
          </w:tcPr>
          <w:p>
            <w:pPr>
              <w:spacing w:after="20" w:before="20" w:line="245" w:lineRule="auto"/>
            </w:pPr>
            <w:r>
              <w:rPr>
                <w:b w:val="0"/>
                <w:sz w:val="20"/>
              </w:rPr>
              <w:t>L 14,250</w:t>
            </w:r>
          </w:p>
        </w:tc>
        <w:tc>
          <w:tcPr>
            <w:tcW w:type="dxa" w:w="2376"/>
            <w:vAlign w:val="center"/>
            <w:shd w:fill="F6F7F8"/>
          </w:tcPr>
          <w:p>
            <w:pPr>
              <w:spacing w:after="20" w:before="20" w:line="245" w:lineRule="auto"/>
            </w:pPr>
            <w:r>
              <w:rPr>
                <w:b w:val="0"/>
                <w:sz w:val="20"/>
              </w:rPr>
              <w:t>L 109,250</w:t>
            </w:r>
          </w:p>
        </w:tc>
      </w:tr>
      <w:tr>
        <w:trPr>
          <w:cantSplit/>
        </w:trPr>
        <w:tc>
          <w:tcPr>
            <w:tcW w:type="dxa" w:w="3600"/>
            <w:vAlign w:val="center"/>
            <w:shd w:fill="FFFFFF"/>
          </w:tcPr>
          <w:p>
            <w:pPr>
              <w:spacing w:after="20" w:before="20" w:line="245" w:lineRule="auto"/>
            </w:pPr>
            <w:r>
              <w:rPr>
                <w:b w:val="0"/>
                <w:sz w:val="20"/>
              </w:rPr>
              <w:t>Segundo pago del 50%</w:t>
            </w:r>
          </w:p>
        </w:tc>
        <w:tc>
          <w:tcPr>
            <w:tcW w:type="dxa" w:w="2016"/>
            <w:vAlign w:val="center"/>
            <w:shd w:fill="FFFFFF"/>
          </w:tcPr>
          <w:p>
            <w:pPr>
              <w:spacing w:after="20" w:before="20" w:line="245" w:lineRule="auto"/>
            </w:pPr>
            <w:r>
              <w:rPr>
                <w:b w:val="0"/>
                <w:sz w:val="20"/>
              </w:rPr>
              <w:t>L 95,000</w:t>
            </w:r>
          </w:p>
        </w:tc>
        <w:tc>
          <w:tcPr>
            <w:tcW w:type="dxa" w:w="1944"/>
            <w:vAlign w:val="center"/>
            <w:shd w:fill="FFFFFF"/>
          </w:tcPr>
          <w:p>
            <w:pPr>
              <w:spacing w:after="20" w:before="20" w:line="245" w:lineRule="auto"/>
            </w:pPr>
            <w:r>
              <w:rPr>
                <w:b w:val="0"/>
                <w:sz w:val="20"/>
              </w:rPr>
              <w:t>L 14,250</w:t>
            </w:r>
          </w:p>
        </w:tc>
        <w:tc>
          <w:tcPr>
            <w:tcW w:type="dxa" w:w="2376"/>
            <w:vAlign w:val="center"/>
            <w:shd w:fill="FFFFFF"/>
          </w:tcPr>
          <w:p>
            <w:pPr>
              <w:spacing w:after="20" w:before="20" w:line="245" w:lineRule="auto"/>
            </w:pPr>
            <w:r>
              <w:rPr>
                <w:b w:val="0"/>
                <w:sz w:val="20"/>
              </w:rPr>
              <w:t>L 109,250</w:t>
            </w:r>
          </w:p>
        </w:tc>
      </w:tr>
    </w:tbl>
    <w:p>
      <w:pPr>
        <w:spacing w:after="0"/>
      </w:pPr>
    </w:p>
    <w:p>
      <w:r>
        <w:rPr>
          <w:b w:val="0"/>
        </w:rPr>
        <w:t>Los importes incluyen el cálculo del ISV a la tasa general del 15%, sujeto al tratamiento fiscal legalmente aplicable y a cualquier exoneración acreditada. Las retenciones procedentes se documentarán con su constancia. Los pagos se acreditarán mediante los comprobantes correspondientes.</w:t>
      </w:r>
    </w:p>
    <w:p>
      <w:pPr>
        <w:pStyle w:val="Heading2"/>
      </w:pPr>
      <w:r>
        <w:t>2 Condiciones principales</w:t>
      </w:r>
    </w:p>
    <w:p>
      <w:pPr>
        <w:pStyle w:val="ListBullet"/>
      </w:pPr>
      <w:r>
        <w:t>Ejecución estimada de ocho semanas desde el acta de inicio, el anticipo y la disponibilidad de los prerrequisitos.</w:t>
      </w:r>
    </w:p>
    <w:p>
      <w:pPr>
        <w:pStyle w:val="ListBullet"/>
      </w:pPr>
      <w:r>
        <w:t>Primer pago al formalizar el arranque; segundo pago contra aceptación final conforme al procedimiento de la sección 7. Facturas pagaderas en quince días calendario desde su recepción; el inicio requiere el anticipo efectivo.</w:t>
      </w:r>
    </w:p>
    <w:p>
      <w:pPr>
        <w:pStyle w:val="ListBullet"/>
      </w:pPr>
      <w:r>
        <w:t>Treinta días calendario de garantía correctiva desde la aceptación final.</w:t>
      </w:r>
    </w:p>
    <w:p>
      <w:pPr>
        <w:pStyle w:val="ListBullet"/>
      </w:pPr>
      <w:r>
        <w:t>Seis meses calendario de alojamiento y administración básica de cortesía desde la fecha en que concurran aceptación final y puesta en operación, asentada en el acta.</w:t>
      </w:r>
    </w:p>
    <w:p>
      <w:pPr>
        <w:pStyle w:val="ListBullet"/>
      </w:pPr>
      <w:r>
        <w:t>Una migración inicial a infraestructura compatible de AFP Occidente, en los términos de la sección 10.</w:t>
      </w:r>
    </w:p>
    <w:p>
      <w:r>
        <w:br w:type="page"/>
      </w:r>
    </w:p>
    <w:p>
      <w:pPr>
        <w:pStyle w:val="Heading1"/>
      </w:pPr>
      <w:r>
        <w:t>3 Alcance funcional incluido</w:t>
      </w:r>
    </w:p>
    <w:p>
      <w:r>
        <w:rPr>
          <w:b w:val="0"/>
        </w:rPr>
        <w:t>La solución centraliza la recepción, revisión y trazabilidad de solicitudes de afiliación. La decisión final permanece en personal autorizado de AFP Occidente. Las matrices y reglas se precisarán en la primera semana dentro del alcance aquí descrito.</w:t>
      </w:r>
    </w:p>
    <w:p>
      <w:pPr>
        <w:pStyle w:val="Heading2"/>
      </w:pPr>
      <w:r>
        <w:t>Recepción y gestión de solicitudes</w:t>
      </w:r>
    </w:p>
    <w:p>
      <w:pPr>
        <w:pStyle w:val="ListBullet"/>
      </w:pPr>
      <w:r>
        <w:t>Bandeja de solicitudes recibidas mediante IMAP seguro; configuración SMTP para respuestas y comunicaciones.</w:t>
      </w:r>
    </w:p>
    <w:p>
      <w:pPr>
        <w:pStyle w:val="ListBullet"/>
      </w:pPr>
      <w:r>
        <w:t>Formularios digitales configurables con validaciones, adjuntos y creación automática del expediente.</w:t>
      </w:r>
    </w:p>
    <w:p>
      <w:pPr>
        <w:pStyle w:val="ListBullet"/>
      </w:pPr>
      <w:r>
        <w:t>Código único de caso y vinculación de correos, respuestas y documentos.</w:t>
      </w:r>
    </w:p>
    <w:p>
      <w:pPr>
        <w:pStyle w:val="ListBullet"/>
      </w:pPr>
      <w:r>
        <w:t>Notificaciones de recepción, asignación, faltantes, cambios de estado y cierre.</w:t>
      </w:r>
    </w:p>
    <w:p>
      <w:pPr>
        <w:pStyle w:val="ListBullet"/>
      </w:pPr>
      <w:r>
        <w:t>Almacenamiento privado de adjuntos y panel operativo con métricas, alertas, búsqueda y estados del flujo.</w:t>
      </w:r>
    </w:p>
    <w:p>
      <w:pPr>
        <w:pStyle w:val="Heading2"/>
      </w:pPr>
      <w:r>
        <w:t>Control documental y análisis asistido</w:t>
      </w:r>
    </w:p>
    <w:p>
      <w:pPr>
        <w:pStyle w:val="ListBullet"/>
      </w:pPr>
      <w:r>
        <w:t>Matriz configurable de documentos, porcentaje de completitud y detección de faltantes.</w:t>
      </w:r>
    </w:p>
    <w:p>
      <w:pPr>
        <w:pStyle w:val="ListBullet"/>
      </w:pPr>
      <w:r>
        <w:t>Captura, digitalización y carga web móvil mediante sesión segura sincronizada por QR y vinculada al caso.</w:t>
      </w:r>
    </w:p>
    <w:p>
      <w:pPr>
        <w:pStyle w:val="ListBullet"/>
      </w:pPr>
      <w:r>
        <w:t>Clasificación y extracción asistida de información, con ubicación de evidencia cuando el documento lo permita.</w:t>
      </w:r>
    </w:p>
    <w:p>
      <w:pPr>
        <w:pStyle w:val="ListBullet"/>
      </w:pPr>
      <w:r>
        <w:t>Validaciones de consistencia, procedencia de fondos, FATCA, firmas e identidad conforme a reglas y documentos acordados; no incluye certificación de autenticidad ni verificación biométrica.</w:t>
      </w:r>
    </w:p>
    <w:p>
      <w:pPr>
        <w:pStyle w:val="ListBullet"/>
      </w:pPr>
      <w:r>
        <w:t>Reanálisis controlado de documentos y correcciones, historial y resumen con recomendación orientativa, sin aprobación autónoma.</w:t>
      </w:r>
    </w:p>
    <w:p>
      <w:pPr>
        <w:pStyle w:val="Heading2"/>
      </w:pPr>
      <w:r>
        <w:t>Decisión y administración</w:t>
      </w:r>
    </w:p>
    <w:p>
      <w:pPr>
        <w:pStyle w:val="ListBullet"/>
      </w:pPr>
      <w:r>
        <w:t>Revisión, subsanación, escalamiento, aprobación humana y finalización.</w:t>
      </w:r>
    </w:p>
    <w:p>
      <w:pPr>
        <w:pStyle w:val="ListBullet"/>
      </w:pPr>
      <w:r>
        <w:t>Roles de Administrador, Afiliaciones, Cumplimiento y Consulta; usuarios internos y externos con permisos y vistas diferenciados.</w:t>
      </w:r>
    </w:p>
    <w:p>
      <w:pPr>
        <w:pStyle w:val="ListBullet"/>
      </w:pPr>
      <w:r>
        <w:t>Bitácora de auditoría con usuario, fecha, acción y contexto de la decisión.</w:t>
      </w:r>
    </w:p>
    <w:p>
      <w:pPr>
        <w:pStyle w:val="ListBullet"/>
      </w:pPr>
      <w:r>
        <w:t>Administración de usuarios, roles, permisos, estados de cuenta y buzón de correo.</w:t>
      </w:r>
    </w:p>
    <w:p>
      <w:pPr>
        <w:pStyle w:val="ListBullet"/>
      </w:pPr>
      <w:r>
        <w:t>Generación de archivos de salida para casos finalizados en los formatos acordados.</w:t>
      </w:r>
    </w:p>
    <w:p>
      <w:r>
        <w:rPr>
          <w:b/>
        </w:rPr>
        <w:t>La exportación acordada está incluida. La integración directa al sistema central requiere un acuerdo de cambio específico, API y ambiente de pruebas; su disponibilidad no la incorpora automáticamente al precio base.</w:t>
      </w:r>
    </w:p>
    <w:p>
      <w:r>
        <w:br w:type="page"/>
      </w:r>
    </w:p>
    <w:p>
      <w:pPr>
        <w:pStyle w:val="Heading1"/>
      </w:pPr>
      <w:r>
        <w:t>4 Arquitectura y límites técnicos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944"/>
        <w:gridCol w:w="3384"/>
        <w:gridCol w:w="4608"/>
      </w:tblGrid>
      <w:tr>
        <w:trPr>
          <w:cantSplit/>
          <w:tblHeader/>
        </w:trPr>
        <w:tc>
          <w:tcPr>
            <w:tcW w:type="dxa" w:w="1944"/>
            <w:vAlign w:val="center"/>
            <w:shd w:fill="E8ECEF"/>
          </w:tcPr>
          <w:p>
            <w:pPr>
              <w:spacing w:after="20" w:before="20" w:line="245" w:lineRule="auto"/>
            </w:pPr>
            <w:r>
              <w:rPr>
                <w:b/>
                <w:sz w:val="20"/>
              </w:rPr>
              <w:t>Componente</w:t>
            </w:r>
          </w:p>
        </w:tc>
        <w:tc>
          <w:tcPr>
            <w:tcW w:type="dxa" w:w="3384"/>
            <w:vAlign w:val="center"/>
            <w:shd w:fill="E8ECEF"/>
          </w:tcPr>
          <w:p>
            <w:pPr>
              <w:spacing w:after="20" w:before="20" w:line="245" w:lineRule="auto"/>
            </w:pPr>
            <w:r>
              <w:rPr>
                <w:b/>
                <w:sz w:val="20"/>
              </w:rPr>
              <w:t>Tecnología base</w:t>
            </w:r>
          </w:p>
        </w:tc>
        <w:tc>
          <w:tcPr>
            <w:tcW w:type="dxa" w:w="4608"/>
            <w:vAlign w:val="center"/>
            <w:shd w:fill="E8ECEF"/>
          </w:tcPr>
          <w:p>
            <w:pPr>
              <w:spacing w:after="20" w:before="20" w:line="245" w:lineRule="auto"/>
            </w:pPr>
            <w:r>
              <w:rPr>
                <w:b/>
                <w:sz w:val="20"/>
              </w:rPr>
              <w:t>Uso</w:t>
            </w:r>
          </w:p>
        </w:tc>
      </w:tr>
      <w:tr>
        <w:trPr>
          <w:cantSplit/>
        </w:trPr>
        <w:tc>
          <w:tcPr>
            <w:tcW w:type="dxa" w:w="1944"/>
            <w:vAlign w:val="center"/>
            <w:shd w:fill="FFFFFF"/>
          </w:tcPr>
          <w:p>
            <w:pPr>
              <w:spacing w:after="20" w:before="20" w:line="245" w:lineRule="auto"/>
            </w:pPr>
            <w:r>
              <w:rPr>
                <w:b w:val="0"/>
                <w:sz w:val="20"/>
              </w:rPr>
              <w:t>Portal web</w:t>
            </w:r>
          </w:p>
        </w:tc>
        <w:tc>
          <w:tcPr>
            <w:tcW w:type="dxa" w:w="3384"/>
            <w:vAlign w:val="center"/>
            <w:shd w:fill="FFFFFF"/>
          </w:tcPr>
          <w:p>
            <w:pPr>
              <w:spacing w:after="20" w:before="20" w:line="245" w:lineRule="auto"/>
            </w:pPr>
            <w:r>
              <w:rPr>
                <w:b w:val="0"/>
                <w:sz w:val="20"/>
              </w:rPr>
              <w:t>React</w:t>
            </w:r>
          </w:p>
        </w:tc>
        <w:tc>
          <w:tcPr>
            <w:tcW w:type="dxa" w:w="4608"/>
            <w:vAlign w:val="center"/>
            <w:shd w:fill="FFFFFF"/>
          </w:tcPr>
          <w:p>
            <w:pPr>
              <w:spacing w:after="20" w:before="20" w:line="245" w:lineRule="auto"/>
            </w:pPr>
            <w:r>
              <w:rPr>
                <w:b w:val="0"/>
                <w:sz w:val="20"/>
              </w:rPr>
              <w:t>Formularios y operación desde escritorio o móvil.</w:t>
            </w:r>
          </w:p>
        </w:tc>
      </w:tr>
      <w:tr>
        <w:trPr>
          <w:cantSplit/>
        </w:trPr>
        <w:tc>
          <w:tcPr>
            <w:tcW w:type="dxa" w:w="1944"/>
            <w:vAlign w:val="center"/>
            <w:shd w:fill="F6F7F8"/>
          </w:tcPr>
          <w:p>
            <w:pPr>
              <w:spacing w:after="20" w:before="20" w:line="245" w:lineRule="auto"/>
            </w:pPr>
            <w:r>
              <w:rPr>
                <w:b w:val="0"/>
                <w:sz w:val="20"/>
              </w:rPr>
              <w:t>Aplicación</w:t>
            </w:r>
          </w:p>
        </w:tc>
        <w:tc>
          <w:tcPr>
            <w:tcW w:type="dxa" w:w="3384"/>
            <w:vAlign w:val="center"/>
            <w:shd w:fill="F6F7F8"/>
          </w:tcPr>
          <w:p>
            <w:pPr>
              <w:spacing w:after="20" w:before="20" w:line="245" w:lineRule="auto"/>
            </w:pPr>
            <w:r>
              <w:rPr>
                <w:b w:val="0"/>
                <w:sz w:val="20"/>
              </w:rPr>
              <w:t>Node.js y Fastify en Lightsail dedicado</w:t>
            </w:r>
          </w:p>
        </w:tc>
        <w:tc>
          <w:tcPr>
            <w:tcW w:type="dxa" w:w="4608"/>
            <w:vAlign w:val="center"/>
            <w:shd w:fill="F6F7F8"/>
          </w:tcPr>
          <w:p>
            <w:pPr>
              <w:spacing w:after="20" w:before="20" w:line="245" w:lineRule="auto"/>
            </w:pPr>
            <w:r>
              <w:rPr>
                <w:b w:val="0"/>
                <w:sz w:val="20"/>
              </w:rPr>
              <w:t>Reglas, sesiones, procesos de correo y exportaciones.</w:t>
            </w:r>
          </w:p>
        </w:tc>
      </w:tr>
      <w:tr>
        <w:trPr>
          <w:cantSplit/>
        </w:trPr>
        <w:tc>
          <w:tcPr>
            <w:tcW w:type="dxa" w:w="1944"/>
            <w:vAlign w:val="center"/>
            <w:shd w:fill="FFFFFF"/>
          </w:tcPr>
          <w:p>
            <w:pPr>
              <w:spacing w:after="20" w:before="20" w:line="245" w:lineRule="auto"/>
            </w:pPr>
            <w:r>
              <w:rPr>
                <w:b w:val="0"/>
                <w:sz w:val="20"/>
              </w:rPr>
              <w:t>Base de datos</w:t>
            </w:r>
          </w:p>
        </w:tc>
        <w:tc>
          <w:tcPr>
            <w:tcW w:type="dxa" w:w="3384"/>
            <w:vAlign w:val="center"/>
            <w:shd w:fill="FFFFFF"/>
          </w:tcPr>
          <w:p>
            <w:pPr>
              <w:spacing w:after="20" w:before="20" w:line="245" w:lineRule="auto"/>
            </w:pPr>
            <w:r>
              <w:rPr>
                <w:b w:val="0"/>
                <w:sz w:val="20"/>
              </w:rPr>
              <w:t>Amazon RDS for MySQL</w:t>
            </w:r>
          </w:p>
        </w:tc>
        <w:tc>
          <w:tcPr>
            <w:tcW w:type="dxa" w:w="4608"/>
            <w:vAlign w:val="center"/>
            <w:shd w:fill="FFFFFF"/>
          </w:tcPr>
          <w:p>
            <w:pPr>
              <w:spacing w:after="20" w:before="20" w:line="245" w:lineRule="auto"/>
            </w:pPr>
            <w:r>
              <w:rPr>
                <w:b w:val="0"/>
                <w:sz w:val="20"/>
              </w:rPr>
              <w:t>Casos, usuarios, configuración y auditoría.</w:t>
            </w:r>
          </w:p>
        </w:tc>
      </w:tr>
      <w:tr>
        <w:trPr>
          <w:cantSplit/>
        </w:trPr>
        <w:tc>
          <w:tcPr>
            <w:tcW w:type="dxa" w:w="1944"/>
            <w:vAlign w:val="center"/>
            <w:shd w:fill="F6F7F8"/>
          </w:tcPr>
          <w:p>
            <w:pPr>
              <w:spacing w:after="20" w:before="20" w:line="245" w:lineRule="auto"/>
            </w:pPr>
            <w:r>
              <w:rPr>
                <w:b w:val="0"/>
                <w:sz w:val="20"/>
              </w:rPr>
              <w:t>Documentos</w:t>
            </w:r>
          </w:p>
        </w:tc>
        <w:tc>
          <w:tcPr>
            <w:tcW w:type="dxa" w:w="3384"/>
            <w:vAlign w:val="center"/>
            <w:shd w:fill="F6F7F8"/>
          </w:tcPr>
          <w:p>
            <w:pPr>
              <w:spacing w:after="20" w:before="20" w:line="245" w:lineRule="auto"/>
            </w:pPr>
            <w:r>
              <w:rPr>
                <w:b w:val="0"/>
                <w:sz w:val="20"/>
              </w:rPr>
              <w:t>Amazon S3 privado</w:t>
            </w:r>
          </w:p>
        </w:tc>
        <w:tc>
          <w:tcPr>
            <w:tcW w:type="dxa" w:w="4608"/>
            <w:vAlign w:val="center"/>
            <w:shd w:fill="F6F7F8"/>
          </w:tcPr>
          <w:p>
            <w:pPr>
              <w:spacing w:after="20" w:before="20" w:line="245" w:lineRule="auto"/>
            </w:pPr>
            <w:r>
              <w:rPr>
                <w:b w:val="0"/>
                <w:sz w:val="20"/>
              </w:rPr>
              <w:t>Adjuntos, expedientes y carga móvil.</w:t>
            </w:r>
          </w:p>
        </w:tc>
      </w:tr>
      <w:tr>
        <w:trPr>
          <w:cantSplit/>
        </w:trPr>
        <w:tc>
          <w:tcPr>
            <w:tcW w:type="dxa" w:w="1944"/>
            <w:vAlign w:val="center"/>
            <w:shd w:fill="FFFFFF"/>
          </w:tcPr>
          <w:p>
            <w:pPr>
              <w:spacing w:after="20" w:before="20" w:line="245" w:lineRule="auto"/>
            </w:pPr>
            <w:r>
              <w:rPr>
                <w:b w:val="0"/>
                <w:sz w:val="20"/>
              </w:rPr>
              <w:t>Correo</w:t>
            </w:r>
          </w:p>
        </w:tc>
        <w:tc>
          <w:tcPr>
            <w:tcW w:type="dxa" w:w="3384"/>
            <w:vAlign w:val="center"/>
            <w:shd w:fill="FFFFFF"/>
          </w:tcPr>
          <w:p>
            <w:pPr>
              <w:spacing w:after="20" w:before="20" w:line="245" w:lineRule="auto"/>
            </w:pPr>
            <w:r>
              <w:rPr>
                <w:b w:val="0"/>
                <w:sz w:val="20"/>
              </w:rPr>
              <w:t>IMAP y SMTP con TLS</w:t>
            </w:r>
          </w:p>
        </w:tc>
        <w:tc>
          <w:tcPr>
            <w:tcW w:type="dxa" w:w="4608"/>
            <w:vAlign w:val="center"/>
            <w:shd w:fill="FFFFFF"/>
          </w:tcPr>
          <w:p>
            <w:pPr>
              <w:spacing w:after="20" w:before="20" w:line="245" w:lineRule="auto"/>
            </w:pPr>
            <w:r>
              <w:rPr>
                <w:b w:val="0"/>
                <w:sz w:val="20"/>
              </w:rPr>
              <w:t>Recepción, respuestas y notificaciones.</w:t>
            </w:r>
          </w:p>
        </w:tc>
      </w:tr>
      <w:tr>
        <w:trPr>
          <w:cantSplit/>
        </w:trPr>
        <w:tc>
          <w:tcPr>
            <w:tcW w:type="dxa" w:w="1944"/>
            <w:vAlign w:val="center"/>
            <w:shd w:fill="F6F7F8"/>
          </w:tcPr>
          <w:p>
            <w:pPr>
              <w:spacing w:after="20" w:before="20" w:line="245" w:lineRule="auto"/>
            </w:pPr>
            <w:r>
              <w:rPr>
                <w:b w:val="0"/>
                <w:sz w:val="20"/>
              </w:rPr>
              <w:t>Análisis asistido</w:t>
            </w:r>
          </w:p>
        </w:tc>
        <w:tc>
          <w:tcPr>
            <w:tcW w:type="dxa" w:w="3384"/>
            <w:vAlign w:val="center"/>
            <w:shd w:fill="F6F7F8"/>
          </w:tcPr>
          <w:p>
            <w:pPr>
              <w:spacing w:after="20" w:before="20" w:line="245" w:lineRule="auto"/>
            </w:pPr>
            <w:r>
              <w:rPr>
                <w:b w:val="0"/>
                <w:sz w:val="20"/>
              </w:rPr>
              <w:t>Proveedor de IA autorizado por AFP Occidente</w:t>
            </w:r>
          </w:p>
        </w:tc>
        <w:tc>
          <w:tcPr>
            <w:tcW w:type="dxa" w:w="4608"/>
            <w:vAlign w:val="center"/>
            <w:shd w:fill="F6F7F8"/>
          </w:tcPr>
          <w:p>
            <w:pPr>
              <w:spacing w:after="20" w:before="20" w:line="245" w:lineRule="auto"/>
            </w:pPr>
            <w:r>
              <w:rPr>
                <w:b w:val="0"/>
                <w:sz w:val="20"/>
              </w:rPr>
              <w:t>Extracción y apoyo analítico con revisión humana.</w:t>
            </w:r>
          </w:p>
        </w:tc>
      </w:tr>
    </w:tbl>
    <w:p>
      <w:pPr>
        <w:spacing w:after="0"/>
      </w:pPr>
    </w:p>
    <w:p>
      <w:pPr>
        <w:pStyle w:val="Heading2"/>
      </w:pPr>
      <w:r>
        <w:t>Seguridad y capacidad</w:t>
      </w:r>
    </w:p>
    <w:p>
      <w:r>
        <w:rPr>
          <w:b w:val="0"/>
        </w:rPr>
        <w:t>Se incluyen autenticación, permisos por rol, HTTPS/TLS, conexiones cifradas hacia datos y correo, almacenamiento privado, secretos fuera del código y registros de eventos. La política de respaldo, restauración, retención y atención de incidentes se documentará antes de utilizar datos productivos.</w:t>
      </w:r>
    </w:p>
    <w:p>
      <w:r>
        <w:rPr>
          <w:b w:val="0"/>
        </w:rPr>
        <w:t>En la semana 1 se aprobará el acta técnica con región y titular de la cuenta AWS, recursos, usuarios concurrentes, expedientes, almacenamiento, tráfico y retención de referencia. La cortesía y los planes cubren esa capacidad. No se ampliarán recursos ni se cobrarán excesos sin autorización escrita. Si los límites resultan insuficientes, se acordará una alternativa técnica y económica antes de operar fuera de ellos.</w:t>
      </w:r>
    </w:p>
    <w:p>
      <w:pPr>
        <w:pStyle w:val="Heading2"/>
      </w:pPr>
      <w:r>
        <w:t>Exclusiones del precio base</w:t>
      </w:r>
    </w:p>
    <w:p>
      <w:pPr>
        <w:pStyle w:val="ListBullet"/>
      </w:pPr>
      <w:r>
        <w:t>Migración masiva de expedientes históricos, depuración o digitación documental; esto es distinto de la migración de la solución incluida al cierre de la cortesía.</w:t>
      </w:r>
    </w:p>
    <w:p>
      <w:pPr>
        <w:pStyle w:val="ListBullet"/>
      </w:pPr>
      <w:r>
        <w:t>Integraciones no descritas con core, biometría, firma electrónica, burós u otros terceros.</w:t>
      </w:r>
    </w:p>
    <w:p>
      <w:pPr>
        <w:pStyle w:val="ListBullet"/>
      </w:pPr>
      <w:r>
        <w:t>Aplicación móvil nativa, alta disponibilidad multirregión, operación o monitoreo humano 24/7.</w:t>
      </w:r>
    </w:p>
    <w:p>
      <w:pPr>
        <w:pStyle w:val="ListBullet"/>
      </w:pPr>
      <w:r>
        <w:t>Pruebas de penetración por terceros, certificaciones regulatorias y auditorías formales. La cooperación con revisiones aplicables se regula en el contrato.</w:t>
      </w:r>
    </w:p>
    <w:p>
      <w:pPr>
        <w:pStyle w:val="ListBullet"/>
      </w:pPr>
      <w:r>
        <w:t>Consumo de IA, licencias de correo, dominio y proveedores distintos de los recursos AWS base incluidos.</w:t>
      </w:r>
    </w:p>
    <w:p>
      <w:pPr>
        <w:pStyle w:val="ListBullet"/>
      </w:pPr>
      <w:r>
        <w:t>Viajes, viáticos y sesiones adicionales fuera de la ciudad o condiciones acordadas.</w:t>
      </w:r>
    </w:p>
    <w:p>
      <w:r>
        <w:rPr>
          <w:b w:val="0"/>
        </w:rPr>
        <w:t>Las políticas del cliente, los proveedores autorizados y los requisitos regulatorios aplicables se revisarán antes de producción. No se enviará información del cliente a un proveedor de IA no autorizado.</w:t>
      </w:r>
    </w:p>
    <w:p>
      <w:r>
        <w:br w:type="page"/>
      </w:r>
    </w:p>
    <w:p>
      <w:pPr>
        <w:pStyle w:val="Heading1"/>
      </w:pPr>
      <w:r>
        <w:t>5 Ejecución y cronograma</w:t>
      </w:r>
    </w:p>
    <w:p>
      <w:r>
        <w:rPr>
          <w:b w:val="0"/>
        </w:rPr>
        <w:t>Se trabajará con entregas semanales, una reunión virtual de hasta sesenta minutos y hasta ocho revisiones presenciales de sábado, de hasta tres horas cada una, en la ciudad que las partes establezcan en el acta de inicio. Los acuerdos y observaciones se registrarán por escrito.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008"/>
        <w:gridCol w:w="8928"/>
      </w:tblGrid>
      <w:tr>
        <w:trPr>
          <w:cantSplit/>
          <w:tblHeader/>
        </w:trPr>
        <w:tc>
          <w:tcPr>
            <w:tcW w:type="dxa" w:w="1008"/>
            <w:vAlign w:val="center"/>
            <w:shd w:fill="E8ECEF"/>
          </w:tcPr>
          <w:p>
            <w:pPr>
              <w:spacing w:after="20" w:before="20" w:line="245" w:lineRule="auto"/>
            </w:pPr>
            <w:r>
              <w:rPr>
                <w:b/>
                <w:sz w:val="20"/>
              </w:rPr>
              <w:t>Semana</w:t>
            </w:r>
          </w:p>
        </w:tc>
        <w:tc>
          <w:tcPr>
            <w:tcW w:type="dxa" w:w="8928"/>
            <w:vAlign w:val="center"/>
            <w:shd w:fill="E8ECEF"/>
          </w:tcPr>
          <w:p>
            <w:pPr>
              <w:spacing w:after="20" w:before="20" w:line="245" w:lineRule="auto"/>
            </w:pPr>
            <w:r>
              <w:rPr>
                <w:b/>
                <w:sz w:val="20"/>
              </w:rPr>
              <w:t>Trabajo y entrega verificable</w:t>
            </w:r>
          </w:p>
        </w:tc>
      </w:tr>
      <w:tr>
        <w:trPr>
          <w:cantSplit/>
        </w:trPr>
        <w:tc>
          <w:tcPr>
            <w:tcW w:type="dxa" w:w="1008"/>
            <w:vAlign w:val="center"/>
            <w:shd w:fill="FFFFFF"/>
          </w:tcPr>
          <w:p>
            <w:pPr>
              <w:spacing w:after="20" w:before="20" w:line="245" w:lineRule="auto"/>
            </w:pPr>
            <w:r>
              <w:rPr>
                <w:b w:val="0"/>
                <w:sz w:val="20"/>
              </w:rPr>
              <w:t>1</w:t>
            </w:r>
          </w:p>
        </w:tc>
        <w:tc>
          <w:tcPr>
            <w:tcW w:type="dxa" w:w="8928"/>
            <w:vAlign w:val="center"/>
            <w:shd w:fill="FFFFFF"/>
          </w:tcPr>
          <w:p>
            <w:pPr>
              <w:spacing w:after="20" w:before="20" w:line="245" w:lineRule="auto"/>
            </w:pPr>
            <w:r>
              <w:rPr>
                <w:b w:val="0"/>
                <w:sz w:val="20"/>
              </w:rPr>
              <w:t>Proceso, matriz de alcance, reglas, arquitectura, criterios de aceptación y plan técnico aprobados.</w:t>
            </w:r>
          </w:p>
        </w:tc>
      </w:tr>
      <w:tr>
        <w:trPr>
          <w:cantSplit/>
        </w:trPr>
        <w:tc>
          <w:tcPr>
            <w:tcW w:type="dxa" w:w="1008"/>
            <w:vAlign w:val="center"/>
            <w:shd w:fill="F6F7F8"/>
          </w:tcPr>
          <w:p>
            <w:pPr>
              <w:spacing w:after="20" w:before="20" w:line="245" w:lineRule="auto"/>
            </w:pPr>
            <w:r>
              <w:rPr>
                <w:b w:val="0"/>
                <w:sz w:val="20"/>
              </w:rPr>
              <w:t>2</w:t>
            </w:r>
          </w:p>
        </w:tc>
        <w:tc>
          <w:tcPr>
            <w:tcW w:type="dxa" w:w="8928"/>
            <w:vAlign w:val="center"/>
            <w:shd w:fill="F6F7F8"/>
          </w:tcPr>
          <w:p>
            <w:pPr>
              <w:spacing w:after="20" w:before="20" w:line="245" w:lineRule="auto"/>
            </w:pPr>
            <w:r>
              <w:rPr>
                <w:b w:val="0"/>
                <w:sz w:val="20"/>
              </w:rPr>
              <w:t>Base productiva, autenticación, usuarios internos y externos, roles, permisos y administración.</w:t>
            </w:r>
          </w:p>
        </w:tc>
      </w:tr>
      <w:tr>
        <w:trPr>
          <w:cantSplit/>
        </w:trPr>
        <w:tc>
          <w:tcPr>
            <w:tcW w:type="dxa" w:w="1008"/>
            <w:vAlign w:val="center"/>
            <w:shd w:fill="FFFFFF"/>
          </w:tcPr>
          <w:p>
            <w:pPr>
              <w:spacing w:after="20" w:before="20" w:line="245" w:lineRule="auto"/>
            </w:pPr>
            <w:r>
              <w:rPr>
                <w:b w:val="0"/>
                <w:sz w:val="20"/>
              </w:rPr>
              <w:t>3</w:t>
            </w:r>
          </w:p>
        </w:tc>
        <w:tc>
          <w:tcPr>
            <w:tcW w:type="dxa" w:w="8928"/>
            <w:vAlign w:val="center"/>
            <w:shd w:fill="FFFFFF"/>
          </w:tcPr>
          <w:p>
            <w:pPr>
              <w:spacing w:after="20" w:before="20" w:line="245" w:lineRule="auto"/>
            </w:pPr>
            <w:r>
              <w:rPr>
                <w:b w:val="0"/>
                <w:sz w:val="20"/>
              </w:rPr>
              <w:t>Formularios, recepción y salida de correo, notificaciones y creación trazable de casos.</w:t>
            </w:r>
          </w:p>
        </w:tc>
      </w:tr>
      <w:tr>
        <w:trPr>
          <w:cantSplit/>
        </w:trPr>
        <w:tc>
          <w:tcPr>
            <w:tcW w:type="dxa" w:w="1008"/>
            <w:vAlign w:val="center"/>
            <w:shd w:fill="F6F7F8"/>
          </w:tcPr>
          <w:p>
            <w:pPr>
              <w:spacing w:after="20" w:before="20" w:line="245" w:lineRule="auto"/>
            </w:pPr>
            <w:r>
              <w:rPr>
                <w:b w:val="0"/>
                <w:sz w:val="20"/>
              </w:rPr>
              <w:t>4</w:t>
            </w:r>
          </w:p>
        </w:tc>
        <w:tc>
          <w:tcPr>
            <w:tcW w:type="dxa" w:w="8928"/>
            <w:vAlign w:val="center"/>
            <w:shd w:fill="F6F7F8"/>
          </w:tcPr>
          <w:p>
            <w:pPr>
              <w:spacing w:after="20" w:before="20" w:line="245" w:lineRule="auto"/>
            </w:pPr>
            <w:r>
              <w:rPr>
                <w:b w:val="0"/>
                <w:sz w:val="20"/>
              </w:rPr>
              <w:t>Carga móvil por QR, documentos privados, matriz de completitud y subsanación vinculada.</w:t>
            </w:r>
          </w:p>
        </w:tc>
      </w:tr>
      <w:tr>
        <w:trPr>
          <w:cantSplit/>
        </w:trPr>
        <w:tc>
          <w:tcPr>
            <w:tcW w:type="dxa" w:w="1008"/>
            <w:vAlign w:val="center"/>
            <w:shd w:fill="FFFFFF"/>
          </w:tcPr>
          <w:p>
            <w:pPr>
              <w:spacing w:after="20" w:before="20" w:line="245" w:lineRule="auto"/>
            </w:pPr>
            <w:r>
              <w:rPr>
                <w:b w:val="0"/>
                <w:sz w:val="20"/>
              </w:rPr>
              <w:t>5</w:t>
            </w:r>
          </w:p>
        </w:tc>
        <w:tc>
          <w:tcPr>
            <w:tcW w:type="dxa" w:w="8928"/>
            <w:vAlign w:val="center"/>
            <w:shd w:fill="FFFFFF"/>
          </w:tcPr>
          <w:p>
            <w:pPr>
              <w:spacing w:after="20" w:before="20" w:line="245" w:lineRule="auto"/>
            </w:pPr>
            <w:r>
              <w:rPr>
                <w:b w:val="0"/>
                <w:sz w:val="20"/>
              </w:rPr>
              <w:t>Reglas, análisis asistido, hallazgos con evidencia, reanálisis y alertas.</w:t>
            </w:r>
          </w:p>
        </w:tc>
      </w:tr>
      <w:tr>
        <w:trPr>
          <w:cantSplit/>
        </w:trPr>
        <w:tc>
          <w:tcPr>
            <w:tcW w:type="dxa" w:w="1008"/>
            <w:vAlign w:val="center"/>
            <w:shd w:fill="F6F7F8"/>
          </w:tcPr>
          <w:p>
            <w:pPr>
              <w:spacing w:after="20" w:before="20" w:line="245" w:lineRule="auto"/>
            </w:pPr>
            <w:r>
              <w:rPr>
                <w:b w:val="0"/>
                <w:sz w:val="20"/>
              </w:rPr>
              <w:t>6</w:t>
            </w:r>
          </w:p>
        </w:tc>
        <w:tc>
          <w:tcPr>
            <w:tcW w:type="dxa" w:w="8928"/>
            <w:vAlign w:val="center"/>
            <w:shd w:fill="F6F7F8"/>
          </w:tcPr>
          <w:p>
            <w:pPr>
              <w:spacing w:after="20" w:before="20" w:line="245" w:lineRule="auto"/>
            </w:pPr>
            <w:r>
              <w:rPr>
                <w:b w:val="0"/>
                <w:sz w:val="20"/>
              </w:rPr>
              <w:t>Flujo de decisión humana, auditoría y archivos de salida acordados.</w:t>
            </w:r>
          </w:p>
        </w:tc>
      </w:tr>
      <w:tr>
        <w:trPr>
          <w:cantSplit/>
        </w:trPr>
        <w:tc>
          <w:tcPr>
            <w:tcW w:type="dxa" w:w="1008"/>
            <w:vAlign w:val="center"/>
            <w:shd w:fill="FFFFFF"/>
          </w:tcPr>
          <w:p>
            <w:pPr>
              <w:spacing w:after="20" w:before="20" w:line="245" w:lineRule="auto"/>
            </w:pPr>
            <w:r>
              <w:rPr>
                <w:b w:val="0"/>
                <w:sz w:val="20"/>
              </w:rPr>
              <w:t>7</w:t>
            </w:r>
          </w:p>
        </w:tc>
        <w:tc>
          <w:tcPr>
            <w:tcW w:type="dxa" w:w="8928"/>
            <w:vAlign w:val="center"/>
            <w:shd w:fill="FFFFFF"/>
          </w:tcPr>
          <w:p>
            <w:pPr>
              <w:spacing w:after="20" w:before="20" w:line="245" w:lineRule="auto"/>
            </w:pPr>
            <w:r>
              <w:rPr>
                <w:b w:val="0"/>
                <w:sz w:val="20"/>
              </w:rPr>
              <w:t>Pruebas integrales, seguridad y rendimiento proporcionales al alcance, manual y preparación de validación final.</w:t>
            </w:r>
          </w:p>
        </w:tc>
      </w:tr>
      <w:tr>
        <w:trPr>
          <w:cantSplit/>
        </w:trPr>
        <w:tc>
          <w:tcPr>
            <w:tcW w:type="dxa" w:w="1008"/>
            <w:vAlign w:val="center"/>
            <w:shd w:fill="F6F7F8"/>
          </w:tcPr>
          <w:p>
            <w:pPr>
              <w:spacing w:after="20" w:before="20" w:line="245" w:lineRule="auto"/>
            </w:pPr>
            <w:r>
              <w:rPr>
                <w:b w:val="0"/>
                <w:sz w:val="20"/>
              </w:rPr>
              <w:t>8</w:t>
            </w:r>
          </w:p>
        </w:tc>
        <w:tc>
          <w:tcPr>
            <w:tcW w:type="dxa" w:w="8928"/>
            <w:vAlign w:val="center"/>
            <w:shd w:fill="F6F7F8"/>
          </w:tcPr>
          <w:p>
            <w:pPr>
              <w:spacing w:after="20" w:before="20" w:line="245" w:lineRule="auto"/>
            </w:pPr>
            <w:r>
              <w:rPr>
                <w:b w:val="0"/>
                <w:sz w:val="20"/>
              </w:rPr>
              <w:t>Correcciones de validación, capacitación, despliegue y entrega formal.</w:t>
            </w:r>
          </w:p>
        </w:tc>
      </w:tr>
    </w:tbl>
    <w:p>
      <w:pPr>
        <w:spacing w:after="0"/>
      </w:pPr>
    </w:p>
    <w:p>
      <w:pPr>
        <w:pStyle w:val="Heading2"/>
      </w:pPr>
      <w:r>
        <w:t>6 Responsabilidades y cambios</w:t>
      </w:r>
    </w:p>
    <w:p>
      <w:r>
        <w:rPr>
          <w:b w:val="0"/>
        </w:rPr>
        <w:t>MACAO será responsable del diseño, desarrollo, configuración, pruebas, demostraciones, documentación y despliegue. AFP Occidente designará un responsable de producto con facultades de decisión y facilitará reglas, matrices, accesos, dominio, buzones y casos de prueba autorizados.</w:t>
      </w:r>
    </w:p>
    <w:p>
      <w:r>
        <w:rPr>
          <w:b w:val="0"/>
        </w:rPr>
        <w:t>El calendario supone respuesta del cliente a decisiones ordinarias en dos días hábiles. Toda dependencia o retraso se notificará con evidencia, impacto y propuesta de recuperación. Solo se ajustarán las fechas efectivamente afectadas; cada parte seguirá atendiendo las actividades que no dependan del bloqueo.</w:t>
      </w:r>
    </w:p>
    <w:p>
      <w:r>
        <w:rPr>
          <w:b w:val="0"/>
        </w:rPr>
        <w:t>Las observaciones que corrijan requisitos acordados están incluidas. Las nuevas funciones, formatos, integraciones o modificaciones sustantivas requieren una solicitud de cambio con costo, plazo y criterios actualizados, aprobada por los representantes autorizados antes de su ejecución.</w:t>
      </w:r>
    </w:p>
    <w:p>
      <w:r>
        <w:rPr>
          <w:b w:val="0"/>
        </w:rPr>
        <w:t>Las partes acordarán en el acta de inicio la fecha a partir de la cual se contarán las ocho semanas de ejecución, una vez cumplidos los requisitos de arranque. El uso de datos productivos requerirá las autorizaciones y controles previstos en este documento.</w:t>
      </w:r>
    </w:p>
    <w:p>
      <w:r>
        <w:br w:type="page"/>
      </w:r>
    </w:p>
    <w:p>
      <w:pPr>
        <w:pStyle w:val="Heading1"/>
      </w:pPr>
      <w:r>
        <w:t>7 Entrega y aceptación</w:t>
      </w:r>
    </w:p>
    <w:p>
      <w:pPr>
        <w:pStyle w:val="ListBullet"/>
      </w:pPr>
      <w:r>
        <w:t>Solución web responsiva desplegada en el ambiente productivo acordado y configuración inicial de infraestructura.</w:t>
      </w:r>
    </w:p>
    <w:p>
      <w:pPr>
        <w:pStyle w:val="ListBullet"/>
      </w:pPr>
      <w:r>
        <w:t>Registro de pruebas funcionales y técnicas; manual de usuario con roles y recorridos operativos.</w:t>
      </w:r>
    </w:p>
    <w:p>
      <w:pPr>
        <w:pStyle w:val="ListBullet"/>
      </w:pPr>
      <w:r>
        <w:t>Dos sesiones de capacitación de hasta tres horas, para un máximo de quince participantes, con enfoque de formación de responsables internos.</w:t>
      </w:r>
    </w:p>
    <w:p>
      <w:pPr>
        <w:pStyle w:val="ListBullet"/>
      </w:pPr>
      <w:r>
        <w:t>Actas semanales, relación de observaciones y acta de entrega y aceptación final.</w:t>
      </w:r>
    </w:p>
    <w:p>
      <w:pPr>
        <w:pStyle w:val="ListBullet"/>
      </w:pPr>
      <w:r>
        <w:t>Paquete operativo para ejecutar la versión entregada y administrar su ambiente, sin obligación de comprar el repositorio fuente.</w:t>
      </w:r>
    </w:p>
    <w:p>
      <w:pPr>
        <w:pStyle w:val="Heading2"/>
      </w:pPr>
      <w:r>
        <w:t>Procedimiento de validación</w:t>
      </w:r>
    </w:p>
    <w:p>
      <w:r>
        <w:rPr>
          <w:b w:val="0"/>
        </w:rPr>
        <w:t>Durante la semana 1 se acordarán las pruebas de aceptación de usuario y sus evidencias. Al completar la entrega, MACAO notificará por escrito la versión, el acceso al ambiente, los resultados y la documentación disponible. Desde esa entrega completa, AFP Occidente tendrá cinco días hábiles para aceptar o identificar incumplimientos materiales concretos frente a los criterios acordados.</w:t>
      </w:r>
    </w:p>
    <w:p>
      <w:r>
        <w:rPr>
          <w:b w:val="0"/>
        </w:rPr>
        <w:t>Un defecto material impide un proceso esencial, vulnera un criterio de seguridad acordado o compromete la integridad de los datos. MACAO lo corregirá sin cargo y se abrirá una nueva revisión de cinco días hábiles sobre la corrección y sus efectos. Los pendientes menores se registrarán con responsable y fecha, sin bloquear por sí solos la aceptación.</w:t>
      </w:r>
    </w:p>
    <w:p>
      <w:r>
        <w:rPr>
          <w:b w:val="0"/>
        </w:rPr>
        <w:t>A falta de observaciones materiales dentro del plazo, MACAO enviará un recordatorio y otorgará dos días hábiles adicionales. Si persiste la ausencia de observaciones, documentará la aceptación por vencimiento del plazo con la evidencia de entrega y notificación. No opera si el cliente no pudo acceder al ambiente por causa atribuible a MACAO.</w:t>
      </w:r>
    </w:p>
    <w:p>
      <w:r>
        <w:rPr>
          <w:b w:val="0"/>
        </w:rPr>
        <w:t>La aceptación expresa o documentada mediante este procedimiento habilita el segundo pago. El acta firmada no será un requisito adicional cuando se configure la aceptación por vencimiento del plazo. No se condicionará el cierre a mejoras fuera del alcance.</w:t>
      </w:r>
    </w:p>
    <w:p>
      <w:pPr>
        <w:pStyle w:val="Heading2"/>
      </w:pPr>
      <w:r>
        <w:t>8 Garantía correctiva</w:t>
      </w:r>
    </w:p>
    <w:p>
      <w:r>
        <w:rPr>
          <w:b w:val="0"/>
        </w:rPr>
        <w:t>La garantía dura treinta días calendario desde la aceptación final y cubre defectos reproducibles que incumplan el alcance aprobado. Un defecto reportado dentro del período se corregirá sin cargo aunque su resolución ocurra después. El diagnóstico necesario de un defecto cubierto tampoco se factura.</w:t>
      </w:r>
    </w:p>
    <w:p>
      <w:r>
        <w:rPr>
          <w:b w:val="0"/>
        </w:rPr>
        <w:t>No incluye nuevas funciones, capacitación adicional ni cambios de reglas. Los incidentes causados por terceros, datos incorrectos o modificaciones ajenas se excluyen únicamente en la medida en que exista relación causal comprobable; ello no libera a MACAO por sus propios errores. La garantía no equivale a soporte ilimitado ni a atención 24/7.</w:t>
      </w:r>
    </w:p>
    <w:p>
      <w:r>
        <w:br w:type="page"/>
      </w:r>
    </w:p>
    <w:p>
      <w:pPr>
        <w:pStyle w:val="Heading1"/>
      </w:pPr>
      <w:r>
        <w:t>9 Alojamiento inicial de cortesía</w:t>
      </w:r>
    </w:p>
    <w:p>
      <w:r>
        <w:rPr>
          <w:b w:val="0"/>
        </w:rPr>
        <w:t>MACAO incluirá seis meses calendario en total de alojamiento AWS y administración básica para facilitar el arranque. La fecha inicial será aquella en que concurran la aceptación final y la puesta en operación, y constará en el acta. La configuración y los ambientes necesarios para la ejecución del proyecto forman parte de la implementación; la cortesía no se consume durante el desarrollo.</w:t>
      </w:r>
    </w:p>
    <w:p>
      <w:r>
        <w:rPr>
          <w:b w:val="0"/>
        </w:rPr>
        <w:t>La modalidad base será alojamiento temporal administrado por MACAO, en recursos dedicados o lógicamente aislados para AFP Occidente. El acta técnica identificará titular, región y accesos. Si el cliente dispone de cuenta AWS propia desde el comienzo, se podrá acordar un aporte de MACAO al consumo base y evitar un traslado posterior; ese mecanismo requiere constancia escrita.</w:t>
      </w:r>
    </w:p>
    <w:p>
      <w:pPr>
        <w:pStyle w:val="ListBullet"/>
      </w:pPr>
      <w:r>
        <w:t>Incluye la capacidad base aprobada de Lightsail, RDS y S3; monitoreo básico, revisión de respaldos y mantenimiento preventivo de infraestructura en horario hábil.</w:t>
      </w:r>
    </w:p>
    <w:p>
      <w:pPr>
        <w:pStyle w:val="ListBullet"/>
      </w:pPr>
      <w:r>
        <w:t>No está condicionado a comprar el código ni a contratar un plan pagado. No incluye consumo de IA ni soporte ilimitado de aplicación.</w:t>
      </w:r>
    </w:p>
    <w:p>
      <w:pPr>
        <w:pStyle w:val="ListBullet"/>
      </w:pPr>
      <w:r>
        <w:t>La garantía de treinta días y el soporte a demanda conservan su alcance independiente.</w:t>
      </w:r>
    </w:p>
    <w:p>
      <w:pPr>
        <w:pStyle w:val="Heading2"/>
      </w:pPr>
      <w:r>
        <w:t>10 Decisión de continuidad y migración</w:t>
      </w:r>
    </w:p>
    <w:p>
      <w:r>
        <w:rPr>
          <w:b w:val="0"/>
        </w:rPr>
        <w:t>MACAO convocará al inicio del quinto mes una revisión de consumo y continuidad. Las partes definirán por escrito, preferiblemente treinta días antes del vencimiento, si contratan un plan o realizan la migración. No habrá contratación, renovación ni cobro automático por el silencio del cliente.</w:t>
      </w:r>
    </w:p>
    <w:p>
      <w:r>
        <w:rPr>
          <w:b w:val="0"/>
        </w:rPr>
        <w:t>Se incluye una migración inicial de la solución hacia una cuenta AWS de AFP Occidente o un servidor compatible que el cliente facilite. Comprende aplicación, base de datos, documentos, configuración, respaldo previo, una ventana de traslado, procedimiento de reversión, pruebas conjuntas y entrega de accesos e instrucciones operativas. Se procurará completarla antes de terminar el sexto mes.</w:t>
      </w:r>
    </w:p>
    <w:p>
      <w:r>
        <w:rPr>
          <w:b w:val="0"/>
        </w:rPr>
        <w:t>AFP Occidente proporcionará oportunamente capacidad, conectividad, licencias, accesos y servicios equivalentes. Si el destino requiere reemplazar S3 u otros servicios, rediseñar componentes o agregar funciones, MACAO presentará el impacto antes de ejecutar; las adaptaciones no están incluidas. Las correcciones de errores atribuibles a MACAO durante la migración sí están incluidas.</w:t>
      </w:r>
    </w:p>
    <w:p>
      <w:r>
        <w:rPr>
          <w:b w:val="0"/>
        </w:rPr>
        <w:t>El traslado no implica cesión del repositorio fuente. El derecho de uso de la versión pagada permanece. Si el destino se retrasa, se acordará por escrito una extensión o un cierre ordenado con entrega de datos; no existe obligación de alojamiento gratuito indefinido. MACAO no suspenderá sin aviso previo de treinta días y coordinación de la salida, salvo una emergencia de seguridad que requiera contención inmediata.</w:t>
      </w:r>
    </w:p>
    <w:p>
      <w:r>
        <w:br w:type="page"/>
      </w:r>
    </w:p>
    <w:p>
      <w:pPr>
        <w:pStyle w:val="Heading1"/>
      </w:pPr>
      <w:r>
        <w:t>11 Servicios opcionales después del arranque</w:t>
      </w:r>
    </w:p>
    <w:p>
      <w:r>
        <w:rPr>
          <w:b w:val="0"/>
        </w:rPr>
        <w:t>Todos los valores siguientes son más ISV. Cada servicio opcional se contrata mediante una orden de activación escrita que identifique la modalidad y su fecha de inicio.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376"/>
        <w:gridCol w:w="1944"/>
        <w:gridCol w:w="5616"/>
      </w:tblGrid>
      <w:tr>
        <w:trPr>
          <w:cantSplit/>
          <w:tblHeader/>
        </w:trPr>
        <w:tc>
          <w:tcPr>
            <w:tcW w:type="dxa" w:w="2376"/>
            <w:vAlign w:val="center"/>
            <w:shd w:fill="E8ECEF"/>
          </w:tcPr>
          <w:p>
            <w:pPr>
              <w:spacing w:after="20" w:before="20" w:line="245" w:lineRule="auto"/>
            </w:pPr>
            <w:r>
              <w:rPr>
                <w:b/>
                <w:sz w:val="20"/>
              </w:rPr>
              <w:t>Modalidad</w:t>
            </w:r>
          </w:p>
        </w:tc>
        <w:tc>
          <w:tcPr>
            <w:tcW w:type="dxa" w:w="1944"/>
            <w:vAlign w:val="center"/>
            <w:shd w:fill="E8ECEF"/>
          </w:tcPr>
          <w:p>
            <w:pPr>
              <w:spacing w:after="20" w:before="20" w:line="245" w:lineRule="auto"/>
            </w:pPr>
            <w:r>
              <w:rPr>
                <w:b/>
                <w:sz w:val="20"/>
              </w:rPr>
              <w:t>Precio base</w:t>
            </w:r>
          </w:p>
        </w:tc>
        <w:tc>
          <w:tcPr>
            <w:tcW w:type="dxa" w:w="5616"/>
            <w:vAlign w:val="center"/>
            <w:shd w:fill="E8ECEF"/>
          </w:tcPr>
          <w:p>
            <w:pPr>
              <w:spacing w:after="20" w:before="20" w:line="245" w:lineRule="auto"/>
            </w:pPr>
            <w:r>
              <w:rPr>
                <w:b/>
                <w:sz w:val="20"/>
              </w:rPr>
              <w:t>Cobertura</w:t>
            </w:r>
          </w:p>
        </w:tc>
      </w:tr>
      <w:tr>
        <w:trPr>
          <w:cantSplit/>
        </w:trPr>
        <w:tc>
          <w:tcPr>
            <w:tcW w:type="dxa" w:w="2376"/>
            <w:vAlign w:val="center"/>
            <w:shd w:fill="FFFFFF"/>
          </w:tcPr>
          <w:p>
            <w:pPr>
              <w:spacing w:after="20" w:before="20" w:line="245" w:lineRule="auto"/>
            </w:pPr>
            <w:r>
              <w:rPr>
                <w:b w:val="0"/>
                <w:sz w:val="20"/>
              </w:rPr>
              <w:t>Alojamiento administrado</w:t>
            </w:r>
          </w:p>
        </w:tc>
        <w:tc>
          <w:tcPr>
            <w:tcW w:type="dxa" w:w="1944"/>
            <w:vAlign w:val="center"/>
            <w:shd w:fill="FFFFFF"/>
          </w:tcPr>
          <w:p>
            <w:pPr>
              <w:spacing w:after="20" w:before="20" w:line="245" w:lineRule="auto"/>
            </w:pPr>
            <w:r>
              <w:rPr>
                <w:b w:val="0"/>
                <w:sz w:val="20"/>
              </w:rPr>
              <w:t>L 4,500 / mes</w:t>
            </w:r>
          </w:p>
        </w:tc>
        <w:tc>
          <w:tcPr>
            <w:tcW w:type="dxa" w:w="5616"/>
            <w:vAlign w:val="center"/>
            <w:shd w:fill="FFFFFF"/>
          </w:tcPr>
          <w:p>
            <w:pPr>
              <w:spacing w:after="20" w:before="20" w:line="245" w:lineRule="auto"/>
            </w:pPr>
            <w:r>
              <w:rPr>
                <w:b w:val="0"/>
                <w:sz w:val="20"/>
              </w:rPr>
              <w:t>AWS base y administración de infraestructura. Sin bolsa de soporte de aplicación.</w:t>
            </w:r>
          </w:p>
        </w:tc>
      </w:tr>
      <w:tr>
        <w:trPr>
          <w:cantSplit/>
        </w:trPr>
        <w:tc>
          <w:tcPr>
            <w:tcW w:type="dxa" w:w="2376"/>
            <w:vAlign w:val="center"/>
            <w:shd w:fill="F6F7F8"/>
          </w:tcPr>
          <w:p>
            <w:pPr>
              <w:spacing w:after="20" w:before="20" w:line="245" w:lineRule="auto"/>
            </w:pPr>
            <w:r>
              <w:rPr>
                <w:b w:val="0"/>
                <w:sz w:val="20"/>
              </w:rPr>
              <w:t>Esencial</w:t>
            </w:r>
          </w:p>
        </w:tc>
        <w:tc>
          <w:tcPr>
            <w:tcW w:type="dxa" w:w="1944"/>
            <w:vAlign w:val="center"/>
            <w:shd w:fill="F6F7F8"/>
          </w:tcPr>
          <w:p>
            <w:pPr>
              <w:spacing w:after="20" w:before="20" w:line="245" w:lineRule="auto"/>
            </w:pPr>
            <w:r>
              <w:rPr>
                <w:b w:val="0"/>
                <w:sz w:val="20"/>
              </w:rPr>
              <w:t>L 6,500 / mes</w:t>
            </w:r>
          </w:p>
        </w:tc>
        <w:tc>
          <w:tcPr>
            <w:tcW w:type="dxa" w:w="5616"/>
            <w:vAlign w:val="center"/>
            <w:shd w:fill="F6F7F8"/>
          </w:tcPr>
          <w:p>
            <w:pPr>
              <w:spacing w:after="20" w:before="20" w:line="245" w:lineRule="auto"/>
            </w:pPr>
            <w:r>
              <w:rPr>
                <w:b w:val="0"/>
                <w:sz w:val="20"/>
              </w:rPr>
              <w:t>Alojamiento administrado y 2 horas mensuales de soporte remoto de aplicación.</w:t>
            </w:r>
          </w:p>
        </w:tc>
      </w:tr>
      <w:tr>
        <w:trPr>
          <w:cantSplit/>
        </w:trPr>
        <w:tc>
          <w:tcPr>
            <w:tcW w:type="dxa" w:w="2376"/>
            <w:vAlign w:val="center"/>
            <w:shd w:fill="FFFFFF"/>
          </w:tcPr>
          <w:p>
            <w:pPr>
              <w:spacing w:after="20" w:before="20" w:line="245" w:lineRule="auto"/>
            </w:pPr>
            <w:r>
              <w:rPr>
                <w:b w:val="0"/>
                <w:sz w:val="20"/>
              </w:rPr>
              <w:t>Continuidad</w:t>
            </w:r>
          </w:p>
        </w:tc>
        <w:tc>
          <w:tcPr>
            <w:tcW w:type="dxa" w:w="1944"/>
            <w:vAlign w:val="center"/>
            <w:shd w:fill="FFFFFF"/>
          </w:tcPr>
          <w:p>
            <w:pPr>
              <w:spacing w:after="20" w:before="20" w:line="245" w:lineRule="auto"/>
            </w:pPr>
            <w:r>
              <w:rPr>
                <w:b w:val="0"/>
                <w:sz w:val="20"/>
              </w:rPr>
              <w:t>L 9,500 / mes</w:t>
            </w:r>
          </w:p>
        </w:tc>
        <w:tc>
          <w:tcPr>
            <w:tcW w:type="dxa" w:w="5616"/>
            <w:vAlign w:val="center"/>
            <w:shd w:fill="FFFFFF"/>
          </w:tcPr>
          <w:p>
            <w:pPr>
              <w:spacing w:after="20" w:before="20" w:line="245" w:lineRule="auto"/>
            </w:pPr>
            <w:r>
              <w:rPr>
                <w:b w:val="0"/>
                <w:sz w:val="20"/>
              </w:rPr>
              <w:t>Alojamiento administrado y 6 horas mensuales de soporte remoto de aplicación. Equivale a L 114,000 por 12 meses, con pago mensual.</w:t>
            </w:r>
          </w:p>
        </w:tc>
      </w:tr>
      <w:tr>
        <w:trPr>
          <w:cantSplit/>
        </w:trPr>
        <w:tc>
          <w:tcPr>
            <w:tcW w:type="dxa" w:w="2376"/>
            <w:vAlign w:val="center"/>
            <w:shd w:fill="F6F7F8"/>
          </w:tcPr>
          <w:p>
            <w:pPr>
              <w:spacing w:after="20" w:before="20" w:line="245" w:lineRule="auto"/>
            </w:pPr>
            <w:r>
              <w:rPr>
                <w:b w:val="0"/>
                <w:sz w:val="20"/>
              </w:rPr>
              <w:t>Soporte a demanda</w:t>
            </w:r>
          </w:p>
        </w:tc>
        <w:tc>
          <w:tcPr>
            <w:tcW w:type="dxa" w:w="1944"/>
            <w:vAlign w:val="center"/>
            <w:shd w:fill="F6F7F8"/>
          </w:tcPr>
          <w:p>
            <w:pPr>
              <w:spacing w:after="20" w:before="20" w:line="245" w:lineRule="auto"/>
            </w:pPr>
            <w:r>
              <w:rPr>
                <w:b w:val="0"/>
                <w:sz w:val="20"/>
              </w:rPr>
              <w:t>L 1,500 / hora</w:t>
            </w:r>
          </w:p>
        </w:tc>
        <w:tc>
          <w:tcPr>
            <w:tcW w:type="dxa" w:w="5616"/>
            <w:vAlign w:val="center"/>
            <w:shd w:fill="F6F7F8"/>
          </w:tcPr>
          <w:p>
            <w:pPr>
              <w:spacing w:after="20" w:before="20" w:line="245" w:lineRule="auto"/>
            </w:pPr>
            <w:r>
              <w:rPr>
                <w:b w:val="0"/>
                <w:sz w:val="20"/>
              </w:rPr>
              <w:t>Solicitudes autorizadas y horas adicionales. Infraestructura no incluida.</w:t>
            </w:r>
          </w:p>
        </w:tc>
      </w:tr>
      <w:tr>
        <w:trPr>
          <w:cantSplit/>
        </w:trPr>
        <w:tc>
          <w:tcPr>
            <w:tcW w:type="dxa" w:w="2376"/>
            <w:vAlign w:val="center"/>
            <w:shd w:fill="FFFFFF"/>
          </w:tcPr>
          <w:p>
            <w:pPr>
              <w:spacing w:after="20" w:before="20" w:line="245" w:lineRule="auto"/>
            </w:pPr>
            <w:r>
              <w:rPr>
                <w:b w:val="0"/>
                <w:sz w:val="20"/>
              </w:rPr>
              <w:t>Código y documentación técnica</w:t>
            </w:r>
          </w:p>
        </w:tc>
        <w:tc>
          <w:tcPr>
            <w:tcW w:type="dxa" w:w="1944"/>
            <w:vAlign w:val="center"/>
            <w:shd w:fill="FFFFFF"/>
          </w:tcPr>
          <w:p>
            <w:pPr>
              <w:spacing w:after="20" w:before="20" w:line="245" w:lineRule="auto"/>
            </w:pPr>
            <w:r>
              <w:rPr>
                <w:b w:val="0"/>
                <w:sz w:val="20"/>
              </w:rPr>
              <w:t>L 55,000</w:t>
            </w:r>
          </w:p>
        </w:tc>
        <w:tc>
          <w:tcPr>
            <w:tcW w:type="dxa" w:w="5616"/>
            <w:vAlign w:val="center"/>
            <w:shd w:fill="FFFFFF"/>
          </w:tcPr>
          <w:p>
            <w:pPr>
              <w:spacing w:after="20" w:before="20" w:line="245" w:lineRule="auto"/>
            </w:pPr>
            <w:r>
              <w:rPr>
                <w:b w:val="0"/>
                <w:sz w:val="20"/>
              </w:rPr>
              <w:t>Copia de la versión aceptada y transferencia técnica, según se describe abajo.</w:t>
            </w:r>
          </w:p>
        </w:tc>
      </w:tr>
    </w:tbl>
    <w:p>
      <w:pPr>
        <w:spacing w:after="0"/>
      </w:pPr>
    </w:p>
    <w:p>
      <w:r>
        <w:rPr>
          <w:b w:val="0"/>
        </w:rPr>
        <w:t>Los planes son de pago mensual anticipado, con seis meses iniciales de servicio pagado y posterior renovación mensual, si así se acuerda expresamente al activarlos; aviso de no renovación de treinta días. Las horas no usadas pasan únicamente al mes siguiente, se consumen primero las más antiguas y vencen al terminar ese mes. La bolsa máxima será de 4 horas en Esencial y 12 en Continuidad. No se canjean por efectivo ni se convierten automáticamente en desarrollo de nuevas funciones.</w:t>
      </w:r>
    </w:p>
    <w:p>
      <w:r>
        <w:rPr>
          <w:b w:val="0"/>
        </w:rPr>
        <w:t>Horario: lunes a viernes de 8:00 a. m. a 5:00 p. m., hora de Honduras, excepto feriados. En Continuidad, respuesta inicial objetivo: crítico 4 horas hábiles, alto 8 horas hábiles y normal 2 días hábiles; no son tiempos de solución. En Esencial y alojamiento, acuse objetivo en 2 días hábiles y programación según diagnóstico. No se ofrece operación 24/7.</w:t>
      </w:r>
    </w:p>
    <w:p>
      <w:r>
        <w:rPr>
          <w:b w:val="0"/>
        </w:rPr>
        <w:t>A demanda: mínimo de una hora por solicitud independiente y luego fracciones de treinta minutos, sin reiniciar el mínimo en seguimientos del mismo incidente. Requiere autorización de estimación y tope; se factura el tiempo utilizado con registro de trabajo. Facturas pagaderas en quince días calendario. Atención presencial o fuera de horario requiere cotización. La vigencia inicial de estas tarifas será de doce meses desde la firma; después, cualquier ajuste requiere aviso y acuerdo escrito.</w:t>
      </w:r>
    </w:p>
    <w:p>
      <w:pPr>
        <w:pStyle w:val="Heading2"/>
      </w:pPr>
      <w:r>
        <w:t>Entrega opcional del código fuente</w:t>
      </w:r>
    </w:p>
    <w:p>
      <w:r>
        <w:rPr>
          <w:b w:val="0"/>
        </w:rPr>
        <w:t>Por L 55,000 más ISV se entrega copia del repositorio de la versión aceptada, esquema y migraciones de base de datos, arquitectura, dependencias, configuración, guía técnica de despliegue y recuperación, inventario de APIs y una sesión de hasta cuatro horas. Pago 50% al activar la opción y 50% antes de la entrega técnica. Otorga derechos de mantenimiento y modificación para uso propio, sin comercialización ni cesión exclusiva de componentes reutilizables. Se excluyen secretos y derechos no transferibles. El acceso excepcional por contingencia del proveedor se regula aparte en la cláusula 15 del contrato.</w:t>
      </w:r>
    </w:p>
    <w:p>
      <w:r>
        <w:br w:type="page"/>
      </w:r>
    </w:p>
    <w:p>
      <w:pPr>
        <w:pStyle w:val="Heading1"/>
      </w:pPr>
      <w:r>
        <w:t>12 Formalización y registro de acuerdos</w:t>
      </w:r>
    </w:p>
    <w:p>
      <w:r>
        <w:rPr>
          <w:b w:val="0"/>
        </w:rPr>
        <w:t>La presente propuesta constituye el Anexo A del contrato de desarrollo e implementación de la Mesa de Control de Afiliaciones. Con su incorporación al contrato, esta versión sustituye las propuestas anteriores respecto del alcance y las condiciones aquí regulados.</w:t>
      </w:r>
    </w:p>
    <w:p>
      <w:r>
        <w:rPr>
          <w:b w:val="0"/>
        </w:rPr>
        <w:t>La inversión en desarrollo e implementación es de L 190,000 más ISV. El calendario se coordinará entre las partes y se registrará en el acta de inicio. AFP Occidente podrá contratar los servicios opcionales de la sección 11 mediante una orden de activación independiente.</w:t>
      </w:r>
    </w:p>
    <w:p>
      <w:pPr>
        <w:pStyle w:val="Heading2"/>
      </w:pPr>
      <w:r>
        <w:t>Datos para transferencia bancaria</w:t>
      </w:r>
    </w:p>
    <w:p>
      <w:pPr/>
      <w:r>
        <w:rPr>
          <w:b/>
        </w:rPr>
        <w:t xml:space="preserve">Titular: </w:t>
      </w:r>
      <w:r>
        <w:t>MACAO Solutions S de RL</w:t>
      </w:r>
    </w:p>
    <w:p>
      <w:pPr/>
      <w:r>
        <w:rPr>
          <w:b/>
        </w:rPr>
        <w:t xml:space="preserve">Banco: </w:t>
      </w:r>
      <w:r>
        <w:t>Banco Ficohsa</w:t>
      </w:r>
    </w:p>
    <w:p>
      <w:pPr/>
      <w:r>
        <w:rPr>
          <w:b/>
        </w:rPr>
        <w:t xml:space="preserve">Tipo de cuenta: </w:t>
      </w:r>
      <w:r>
        <w:t>Ahorro</w:t>
      </w:r>
    </w:p>
    <w:p>
      <w:pPr/>
      <w:r>
        <w:rPr>
          <w:b/>
        </w:rPr>
        <w:t xml:space="preserve">Número de cuenta: </w:t>
      </w:r>
      <w:r>
        <w:t>200023565977</w:t>
      </w:r>
    </w:p>
    <w:p>
      <w:pPr>
        <w:pStyle w:val="Heading2"/>
      </w:pPr>
      <w:r>
        <w:t>Documentos de ejecución</w:t>
      </w:r>
    </w:p>
    <w:p>
      <w:r>
        <w:rPr>
          <w:b w:val="0"/>
        </w:rPr>
        <w:t>El contrato remitirá a esta propuesta como Anexo A. El acta técnica y operativa será el Anexo B y contendrá la capacidad base, la política de respaldo y recuperación, los proveedores autorizados y los escenarios de aceptación. Las decisiones técnicas no modificarán precio ni alcance sin solicitud de cambio aprobada.</w:t>
      </w:r>
    </w:p>
    <w:p>
      <w:pPr>
        <w:pStyle w:val="Heading2"/>
      </w:pPr>
      <w:r>
        <w:t>Conformidad de las partes</w:t>
      </w:r>
    </w:p>
    <w:p>
      <w:r>
        <w:rPr>
          <w:b w:val="0"/>
        </w:rPr>
        <w:t>Con su firma, las partes expresan su conformidad con el alcance técnico y las condiciones económicas de esta propuesta, que se incorpora al contrato como Anexo A. El contrato y sus anexos se complementan conforme al orden de prelación establecido.</w:t>
      </w:r>
    </w:p>
    <w:p>
      <w:r>
        <w:rPr>
          <w:b/>
        </w:rPr>
        <w:t>MACAO Solutions S. de R.L.</w:t>
      </w:r>
    </w:p>
    <w:p>
      <w:r>
        <w:rPr>
          <w:b w:val="0"/>
        </w:rPr>
        <w:t>Representante y cargo: __________________________________________________</w:t>
      </w:r>
    </w:p>
    <w:p>
      <w:r>
        <w:rPr>
          <w:b w:val="0"/>
        </w:rPr>
        <w:t>Firma: ____________________________    Fecha: ____________________________</w:t>
      </w:r>
    </w:p>
    <w:p>
      <w:r>
        <w:rPr>
          <w:b/>
        </w:rPr>
        <w:t>AFP Occidente</w:t>
      </w:r>
    </w:p>
    <w:p>
      <w:r>
        <w:rPr>
          <w:b w:val="0"/>
        </w:rPr>
        <w:t>Representante y cargo: __________________________________________________</w:t>
      </w:r>
    </w:p>
    <w:p>
      <w:r>
        <w:rPr>
          <w:b w:val="0"/>
        </w:rPr>
        <w:t>Firma: ____________________________    Fecha: ____________________________</w:t>
      </w:r>
    </w:p>
    <w:sectPr w:rsidR="00FC693F" w:rsidRPr="0006063C" w:rsidSect="00034616">
      <w:headerReference w:type="default" r:id="rId9"/>
      <w:footerReference w:type="default" r:id="rId10"/>
      <w:pgSz w:w="12240" w:h="15840"/>
      <w:pgMar w:top="1037" w:right="1152" w:bottom="979"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PROP AFP 2026 001 | v1.6  |  FORMALIZACIÓN  |  </w:t>
    </w:r>
    <w:r/>
    <w:fldSimple w:instr="PAGE"/>
    <w:r>
      <w:rPr>
        <w:sz w:val="16"/>
      </w:rPr>
      <w:t xml:space="preserve"> de </w:t>
    </w: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MACAO Solutions S. de R.L.   |   AFP Occidente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7" w:lineRule="auto"/>
    </w:pPr>
    <w:rPr>
      <w:rFonts w:ascii="Calibri" w:hAnsi="Calibri"/>
      <w:color w:val="000000"/>
      <w:sz w:val="22"/>
      <w:lang w:val="es-H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line="257"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40" w:line="257"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57" w:lineRule="auto" w:before="0"/>
      <w:contextualSpacing/>
    </w:pPr>
    <w:rPr>
      <w:rFonts w:asciiTheme="majorHAnsi" w:eastAsiaTheme="majorEastAsia" w:hAnsiTheme="majorHAnsi" w:cstheme="majorBidi" w:ascii="Calibri" w:hAnsi="Calibri"/>
      <w:b/>
      <w:color w:val="000000"/>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numPr>
        <w:ilvl w:val="1"/>
      </w:numPr>
      <w:spacing w:after="120" w:line="257" w:lineRule="auto"/>
    </w:pPr>
    <w:rPr>
      <w:rFonts w:asciiTheme="majorHAnsi" w:eastAsiaTheme="majorEastAsia" w:hAnsiTheme="majorHAnsi" w:cstheme="majorBidi" w:ascii="Calibri" w:hAnsi="Calibri"/>
      <w:i/>
      <w:iCs/>
      <w:color w:val="000000"/>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7" w:lineRule="auto"/>
      <w:ind w:left="230" w:hanging="144"/>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formalización de la Mesa de Control de Afiliaciones</dc:title>
  <dc:subject>Formalización de la Mesa de Control de Afiliaciones para AFP Occidente</dc:subject>
  <dc:creator>MACAO Solutions S. de R.L.</dc:creator>
  <cp:keywords>AFP Occidente, MACAO Solutions, formalización, contrato</cp:keywords>
  <dc:description/>
  <cp:lastModifiedBy>MACAO Solutions S. de R.L.</cp:lastModifiedBy>
  <cp:revision>2</cp:revision>
  <dcterms:created xsi:type="dcterms:W3CDTF">2013-12-23T23:15:00Z</dcterms:created>
  <dcterms:modified xsi:type="dcterms:W3CDTF">2013-12-23T23:15:00Z</dcterms:modified>
  <cp:category/>
</cp:coreProperties>
</file>