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7EDFDB" w14:textId="77777777" w:rsidR="003E0BBE" w:rsidRDefault="00000000">
      <w:pPr>
        <w:pStyle w:val="Title"/>
      </w:pPr>
      <w:r>
        <w:t>Requerimientos técnicos</w:t>
      </w:r>
    </w:p>
    <w:p w14:paraId="265E9BB4" w14:textId="77777777" w:rsidR="003E0BBE" w:rsidRDefault="00000000">
      <w:pPr>
        <w:pStyle w:val="Subtitle"/>
      </w:pPr>
      <w:r>
        <w:t>Motor de análisis documental y portal administrativo</w:t>
      </w:r>
    </w:p>
    <w:p w14:paraId="168809FE" w14:textId="63BB38E5" w:rsidR="003E0BBE" w:rsidRDefault="00000000" w:rsidP="000D00AA">
      <w:r>
        <w:t>AFP Occidente y equipo de IT de Banco de Occidente</w:t>
      </w:r>
    </w:p>
    <w:p w14:paraId="168809FE" w14:textId="63BB38E5" w:rsidR="003E0BBE" w:rsidRDefault="00000000" w:rsidP="000D00AA">
      <w:r>
        <w:t>MACAO Solutions S. de R.L. | 14 de septiembre de 2026 | Versión 1.0</w:t>
      </w:r>
    </w:p>
    <w:p w14:paraId="5F072C91" w14:textId="20828F9F" w:rsidR="003E0BBE" w:rsidRDefault="00000000">
      <w:pPr>
        <w:pStyle w:val="Heading2"/>
      </w:pPr>
      <w:r>
        <w:t>Propósito y coordinación</w:t>
      </w:r>
    </w:p>
    <w:p w14:paraId="168809FE" w14:textId="63BB38E5" w:rsidR="003E0BBE" w:rsidRDefault="00000000" w:rsidP="000D00AA">
      <w:r>
        <w:t>Solicitamos a Occidente habilitar los ambientes, servicios, accesos e información descritos en este documento para implementar el motor de análisis y su portal administrativo e integrarlos con Oracle APEX. IT y MACAO deberán confirmar las decisiones técnicas en la semana 1 y disponer del ambiente de pruebas al iniciar la semana 2.</w:t>
      </w:r>
    </w:p>
    <w:p w14:paraId="168809FE" w14:textId="63BB38E5" w:rsidR="003E0BBE" w:rsidRDefault="00000000" w:rsidP="000D00AA">
      <w:r>
        <w:t>Este documento desarrolla los prerrequisitos de la propuesta v2.0. El banco mantiene los formularios, la bandeja de calidad, el repositorio documental y la integración con el sistema central. MACAO desarrolla las pantallas del portal administrativo, el motor y los endpoints de su componente.</w:t>
      </w:r>
    </w:p>
    <w:p w14:paraId="5F072C91" w14:textId="20828F9F" w:rsidR="003E0BBE" w:rsidRDefault="00000000">
      <w:pPr>
        <w:pStyle w:val="Heading2"/>
      </w:pPr>
      <w:r>
        <w:t>1 Servidores y ambientes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2"/>
        <w:gridCol w:w="7594"/>
      </w:tblGrid>
      <w:tr w:rsidR="003E0BBE" w14:paraId="119A9E0F" w14:textId="77777777">
        <w:trPr>
          <w:cantSplit/>
          <w:tblHeader/>
          <w:jc w:val="center"/>
        </w:trPr>
        <w:tc>
          <w:tcPr>
            <w:tcW w:w="2342" w:type="dxa"/>
            <w:tcBorders>
              <w:bottom w:val="single" w:sz="8" w:space="0" w:color="FF0006"/>
            </w:tcBorders>
            <w:shd w:val="clear" w:color="auto" w:fill="242021"/>
            <w:tcMar>
              <w:top w:w="85" w:type="dxa"/>
              <w:left w:w="85" w:type="dxa"/>
              <w:bottom w:w="85" w:type="dxa"/>
              <w:right w:w="85" w:type="dxa"/>
            </w:tcMar>
            <w:vAlign w:val="center"/>
          </w:tcPr>
          <w:p w14:paraId="796836E6" w14:textId="77777777" w:rsidR="003E0BBE" w:rsidRDefault="00000000" w:rsidP="000D00AA">
            <w:pPr>
              <w:spacing w:before="20" w:after="20" w:line="245" w:lineRule="auto"/>
            </w:pPr>
            <w:r>
              <w:rPr>
                <w:b/>
                <w:color w:val="FFFFFF"/>
                <w:sz w:val="20"/>
              </w:rPr>
              <w:t>Recurso</w:t>
            </w:r>
          </w:p>
        </w:tc>
        <w:tc>
          <w:tcPr>
            <w:tcW w:w="7594" w:type="dxa"/>
            <w:tcBorders>
              <w:bottom w:val="single" w:sz="8" w:space="0" w:color="FF0006"/>
            </w:tcBorders>
            <w:shd w:val="clear" w:color="auto" w:fill="242021"/>
            <w:tcMar>
              <w:top w:w="85" w:type="dxa"/>
              <w:left w:w="85" w:type="dxa"/>
              <w:bottom w:w="85" w:type="dxa"/>
              <w:right w:w="85" w:type="dxa"/>
            </w:tcMar>
            <w:vAlign w:val="center"/>
          </w:tcPr>
          <w:p w14:paraId="2E0F075F" w14:textId="77777777" w:rsidR="003E0BBE" w:rsidRDefault="00000000" w:rsidP="000D00AA">
            <w:pPr>
              <w:spacing w:before="20" w:after="20" w:line="245" w:lineRule="auto"/>
            </w:pPr>
            <w:r>
              <w:rPr>
                <w:b/>
                <w:color w:val="FFFFFF"/>
                <w:sz w:val="20"/>
              </w:rPr>
              <w:t>Requerimiento a cargo de Occidente</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Producción</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VM aislada con referencia inicial de 8 vCPU, 16 GB de RAM y 150 GB SSD para aplicación, temporales y registros.</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Pruebas y UAT</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Ambiente separado de producción con referencia inicial de 4 vCPU, 8 GB de RAM y 80 GB de disco. Datos y credenciales separados.</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Sistema operativo</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Linux de 64 bits con soporte vigente y aprobado por IT. Distribución, versión y método de instalación se confirman con MACAO en semana 1.</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Ejecución</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Permitir servicios de aplicación y tareas en segundo plano, inicio automático y acceso a registros. Acordar contenedores o servicios del sistema y las versiones del runtime antes de provisionar.</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Administración</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IT aplica parches, administra la VM y facilita instalación supervisada o acceso temporal autorizado. MACAO entrega el paquete y las instrucciones de despliegue.</w:t>
            </w:r>
          </w:p>
        </w:tc>
      </w:tr>
    </w:tbl>
    <w:p w14:paraId="168809FE" w14:textId="63BB38E5" w:rsidR="003E0BBE" w:rsidRDefault="00000000" w:rsidP="000D00AA">
      <w:r>
        <w:t/>
      </w:r>
    </w:p>
    <w:p w14:paraId="168809FE" w14:textId="63BB38E5" w:rsidR="003E0BBE" w:rsidRDefault="00000000" w:rsidP="000D00AA">
      <w:r>
        <w:t>La capacidad es una referencia inicial, no una garantía de rendimiento. No incluye almacenamiento histórico de documentos ni capacidad de la base de datos. Se ajustará según expedientes por día, páginas, tamaños, concurrencia, retención y tiempo objetivo. El esquema base consume Gemini por API y no requiere GPU local.</w:t>
      </w:r>
    </w:p>
    <w:p w14:paraId="5A65DE69" w14:textId="77777777" w:rsidR="003E0BBE" w:rsidRDefault="00000000">
      <w:pPr>
        <w:pStyle w:val="Heading1"/>
        <w:pageBreakBefore/>
      </w:pPr>
      <w:r>
        <w:t>2 Base de datos y repositorio documental</w:t>
      </w:r>
    </w:p>
    <w:p w14:paraId="5F072C91" w14:textId="20828F9F" w:rsidR="003E0BBE" w:rsidRDefault="00000000">
      <w:pPr>
        <w:pStyle w:val="Heading2"/>
      </w:pPr>
      <w:r>
        <w:t>Persistencia administrada por el banco</w:t>
      </w:r>
    </w:p>
    <w:p w14:paraId="168809FE" w14:textId="63BB38E5" w:rsidR="003E0BBE" w:rsidRDefault="00000000" w:rsidP="000D00AA">
      <w:r>
        <w:t>Occidente proporcionará un servicio de base de datos y un esquema dedicado, o servicios equivalentes acordados, para reglas y versiones, permisos, trabajos, resultados y auditoría. MACAO no requiere acceso de escritura al sistema central ni privilegios de administrador de la base.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2"/>
        <w:gridCol w:w="7594"/>
      </w:tblGrid>
      <w:tr w:rsidR="003E0BBE" w14:paraId="119A9E0F" w14:textId="77777777">
        <w:trPr>
          <w:cantSplit/>
          <w:tblHeader/>
          <w:jc w:val="center"/>
        </w:trPr>
        <w:tc>
          <w:tcPr>
            <w:tcW w:w="2342" w:type="dxa"/>
            <w:tcBorders>
              <w:bottom w:val="single" w:sz="8" w:space="0" w:color="FF0006"/>
            </w:tcBorders>
            <w:shd w:val="clear" w:color="auto" w:fill="242021"/>
            <w:tcMar>
              <w:top w:w="85" w:type="dxa"/>
              <w:left w:w="85" w:type="dxa"/>
              <w:bottom w:w="85" w:type="dxa"/>
              <w:right w:w="85" w:type="dxa"/>
            </w:tcMar>
            <w:vAlign w:val="center"/>
          </w:tcPr>
          <w:p w14:paraId="796836E6" w14:textId="77777777" w:rsidR="003E0BBE" w:rsidRDefault="00000000" w:rsidP="000D00AA">
            <w:pPr>
              <w:spacing w:before="20" w:after="20" w:line="245" w:lineRule="auto"/>
            </w:pPr>
            <w:r>
              <w:rPr>
                <w:b/>
                <w:color w:val="FFFFFF"/>
                <w:sz w:val="20"/>
              </w:rPr>
              <w:t>Recurso</w:t>
            </w:r>
          </w:p>
        </w:tc>
        <w:tc>
          <w:tcPr>
            <w:tcW w:w="7594" w:type="dxa"/>
            <w:tcBorders>
              <w:bottom w:val="single" w:sz="8" w:space="0" w:color="FF0006"/>
            </w:tcBorders>
            <w:shd w:val="clear" w:color="auto" w:fill="242021"/>
            <w:tcMar>
              <w:top w:w="85" w:type="dxa"/>
              <w:left w:w="85" w:type="dxa"/>
              <w:bottom w:w="85" w:type="dxa"/>
              <w:right w:w="85" w:type="dxa"/>
            </w:tcMar>
            <w:vAlign w:val="center"/>
          </w:tcPr>
          <w:p w14:paraId="2E0F075F" w14:textId="77777777" w:rsidR="003E0BBE" w:rsidRDefault="00000000" w:rsidP="000D00AA">
            <w:pPr>
              <w:spacing w:before="20" w:after="20" w:line="245" w:lineRule="auto"/>
            </w:pPr>
            <w:r>
              <w:rPr>
                <w:b/>
                <w:color w:val="FFFFFF"/>
                <w:sz w:val="20"/>
              </w:rPr>
              <w:t>Requerimiento a cargo de Occidente</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Definición técnica</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Confirmar motor, versión, codificación, zona horaria, modalidad de conexión y mecanismos permitidos. El uso de APEX no determina por sí solo la base del motor.</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Conectividad</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Entregar host o nombre de servicio, puerto, esquema y requisitos de cifrado. Habilitar acceso únicamente desde los servidores de la solución.</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Permisos</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Cuenta de ejecución con permisos mínimos. Separar, cuando proceda, la cuenta autorizada para instalar o actualizar estructuras; cambios coordinados con el DBA.</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Capacidad y recuperación</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Asignar espacio, cuotas, monitoreo y respaldos. Confirmar retención y objetivos de recuperación con IT antes de la puesta en producción.</w:t>
            </w:r>
          </w:p>
        </w:tc>
      </w:tr>
    </w:tbl>
    <w:p w14:paraId="168809FE" w14:textId="63BB38E5" w:rsidR="003E0BBE" w:rsidRDefault="00000000" w:rsidP="000D00AA">
      <w:r>
        <w:t/>
      </w:r>
    </w:p>
    <w:p w14:paraId="5F072C91" w14:textId="20828F9F" w:rsidR="003E0BBE" w:rsidRDefault="00000000">
      <w:pPr>
        <w:pStyle w:val="Heading2"/>
      </w:pPr>
      <w:r>
        <w:t>Custodia y acceso a documentos</w:t>
      </w:r>
    </w:p>
    <w:p w14:paraId="330386E2" w14:textId="77777777" w:rsidR="003E0BBE" w:rsidRDefault="00000000" w:rsidP="000D00AA">
      <w:pPr>
        <w:pStyle w:val="ListBullet"/>
        <w:jc w:val="both"/>
      </w:pPr>
      <w:r>
        <w:t>Mantener los originales en un repositorio privado del banco. Entregar un servicio autenticado de lectura o referencias temporales autorizadas; evitar enlaces públicos y rutas que dependan del equipo de un usuario.</w:t>
      </w:r>
    </w:p>
    <w:p w14:paraId="330386E2" w14:textId="77777777" w:rsidR="003E0BBE" w:rsidRDefault="00000000" w:rsidP="000D00AA">
      <w:pPr>
        <w:pStyle w:val="ListBullet"/>
        <w:jc w:val="both"/>
      </w:pPr>
      <w:r>
        <w:t>Relacionar cada archivo con el expediente, la versión y un identificador documental único. Incluir nombre, tipo MIME, tamaño y mecanismo de integridad o versión inmutable.</w:t>
      </w:r>
    </w:p>
    <w:p w14:paraId="330386E2" w14:textId="77777777" w:rsidR="003E0BBE" w:rsidRDefault="00000000" w:rsidP="000D00AA">
      <w:pPr>
        <w:pStyle w:val="ListBullet"/>
        <w:jc w:val="both"/>
      </w:pPr>
      <w:r>
        <w:t>Confirmar tipos documentales, formatos, páginas y tamaño máximo por archivo y expediente. Definir el tratamiento de archivos cifrados, corruptos, ilegibles o bloqueados por los controles del banco.</w:t>
      </w:r>
    </w:p>
    <w:p w14:paraId="330386E2" w14:textId="77777777" w:rsidR="003E0BBE" w:rsidRDefault="00000000" w:rsidP="000D00AA">
      <w:pPr>
        <w:pStyle w:val="ListBullet"/>
        <w:jc w:val="both"/>
      </w:pPr>
      <w:r>
        <w:t>Acordar la vigencia de las referencias para cubrir el procesamiento y los reintentos. El repositorio debe permitir recuperar la misma versión utilizada en el análisis.</w:t>
      </w:r>
    </w:p>
    <w:p w14:paraId="5F072C91" w14:textId="20828F9F" w:rsidR="003E0BBE" w:rsidRDefault="00000000">
      <w:pPr>
        <w:pStyle w:val="Heading2"/>
      </w:pPr>
      <w:r>
        <w:t>Volumen y retención por confirmar</w:t>
      </w:r>
    </w:p>
    <w:p w14:paraId="168809FE" w14:textId="63BB38E5" w:rsidR="003E0BBE" w:rsidRDefault="00000000" w:rsidP="000D00AA">
      <w:r>
        <w:t>IT y AFP entregarán volumen promedio y pico de expedientes, documentos y páginas por expediente, tamaño medio y máximo, usuarios concurrentes, crecimiento y retención. El almacenamiento documental se estimará con volumen diario por tamaño medio por días de retención, agregando versiones, respaldos y margen operativo.</w:t>
      </w:r>
    </w:p>
    <w:p w14:paraId="168809FE" w14:textId="63BB38E5" w:rsidR="003E0BBE" w:rsidRDefault="00000000" w:rsidP="000D00AA">
      <w:r>
        <w:t>Definir limpieza de temporales, conservación de resultados y evidencia, y eliminación autorizada. La persistencia del motor no exige duplicar de forma permanente todo el expediente custodiado en APEX.</w:t>
      </w:r>
    </w:p>
    <w:p w14:paraId="5A65DE69" w14:textId="77777777" w:rsidR="003E0BBE" w:rsidRDefault="00000000">
      <w:pPr>
        <w:pStyle w:val="Heading1"/>
        <w:pageBreakBefore/>
      </w:pPr>
      <w:r>
        <w:t>3 Red y control de acceso</w:t>
      </w:r>
    </w:p>
    <w:p w14:paraId="5F072C91" w14:textId="20828F9F" w:rsidR="003E0BBE" w:rsidRDefault="00000000">
      <w:pPr>
        <w:pStyle w:val="Heading2"/>
      </w:pPr>
      <w:r>
        <w:t>Conexiones que debe habilitar IT</w:t>
      </w:r>
    </w:p>
    <w:p w14:paraId="168809FE" w14:textId="63BB38E5" w:rsidR="003E0BBE" w:rsidRDefault="00000000" w:rsidP="000D00AA">
      <w:r>
        <w:t>Aprobar una matriz de origen, destino, puerto y propósito por ambiente. Los nombres DNS, direcciones y certificados definitivos se registrarán en el acta técnica; los siguientes flujos son los requeridos para el diseño base.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2"/>
        <w:gridCol w:w="7594"/>
      </w:tblGrid>
      <w:tr w:rsidR="003E0BBE" w14:paraId="119A9E0F" w14:textId="77777777">
        <w:trPr>
          <w:cantSplit/>
          <w:tblHeader/>
          <w:jc w:val="center"/>
        </w:trPr>
        <w:tc>
          <w:tcPr>
            <w:tcW w:w="2342" w:type="dxa"/>
            <w:tcBorders>
              <w:bottom w:val="single" w:sz="8" w:space="0" w:color="FF0006"/>
            </w:tcBorders>
            <w:shd w:val="clear" w:color="auto" w:fill="242021"/>
            <w:tcMar>
              <w:top w:w="85" w:type="dxa"/>
              <w:left w:w="85" w:type="dxa"/>
              <w:bottom w:w="85" w:type="dxa"/>
              <w:right w:w="85" w:type="dxa"/>
            </w:tcMar>
            <w:vAlign w:val="center"/>
          </w:tcPr>
          <w:p w14:paraId="796836E6" w14:textId="77777777" w:rsidR="003E0BBE" w:rsidRDefault="00000000" w:rsidP="000D00AA">
            <w:pPr>
              <w:spacing w:before="20" w:after="20" w:line="245" w:lineRule="auto"/>
            </w:pPr>
            <w:r>
              <w:rPr>
                <w:b/>
                <w:color w:val="FFFFFF"/>
                <w:sz w:val="20"/>
              </w:rPr>
              <w:t>Recurso</w:t>
            </w:r>
          </w:p>
        </w:tc>
        <w:tc>
          <w:tcPr>
            <w:tcW w:w="7594" w:type="dxa"/>
            <w:tcBorders>
              <w:bottom w:val="single" w:sz="8" w:space="0" w:color="FF0006"/>
            </w:tcBorders>
            <w:shd w:val="clear" w:color="auto" w:fill="242021"/>
            <w:tcMar>
              <w:top w:w="85" w:type="dxa"/>
              <w:left w:w="85" w:type="dxa"/>
              <w:bottom w:w="85" w:type="dxa"/>
              <w:right w:w="85" w:type="dxa"/>
            </w:tcMar>
            <w:vAlign w:val="center"/>
          </w:tcPr>
          <w:p w14:paraId="2E0F075F" w14:textId="77777777" w:rsidR="003E0BBE" w:rsidRDefault="00000000" w:rsidP="000D00AA">
            <w:pPr>
              <w:spacing w:before="20" w:after="20" w:line="245" w:lineRule="auto"/>
            </w:pPr>
            <w:r>
              <w:rPr>
                <w:b/>
                <w:color w:val="FFFFFF"/>
                <w:sz w:val="20"/>
              </w:rPr>
              <w:t>Requerimiento a cargo de Occidente</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APEX hacia el motor</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HTTPS TCP 443 para enviar solicitudes, consultar estados y recuperar resultados. Habilitar el acceso desde el componente que efectivamente realiza la llamada.</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Usuarios hacia el portal</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HTTPS TCP 443 desde la red interna o VPN autorizada. Facilitar DNS y certificado válido para los equipos del banco.</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Motor hacia documentos</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Acceso autenticado al repositorio por el protocolo acordado, preferentemente HTTPS. Restringir destinos y permisos de lectura.</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Motor hacia base de datos</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Puerto del servicio seleccionado en semana 1, con cifrado y restricciones por origen. No publicar la base de datos hacia Internet.</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Motor hacia Gemini</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Salida HTTPS TCP 443 al endpoint autorizado. Informar proxy, inspección TLS y certificados raíz necesarios; conservar la validación de certificados.</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Administración y soporte</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VPN, bastión o mecanismo aprobado con cuentas individuales. IT define permisos, vigencia y registro de las sesiones.</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Servicios auxiliares</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DNS y sincronización horaria institucionales. Acordar acceso a paquetes o entrega mediante repositorio interno para instalación y mantenimiento.</w:t>
            </w:r>
          </w:p>
        </w:tc>
      </w:tr>
    </w:tbl>
    <w:p w14:paraId="168809FE" w14:textId="63BB38E5" w:rsidR="003E0BBE" w:rsidRDefault="00000000" w:rsidP="000D00AA">
      <w:r>
        <w:t/>
      </w:r>
    </w:p>
    <w:p w14:paraId="5F072C91" w14:textId="20828F9F" w:rsidR="003E0BBE" w:rsidRDefault="00000000">
      <w:pPr>
        <w:pStyle w:val="Heading2"/>
      </w:pPr>
      <w:r>
        <w:t>Identidades y secretos</w:t>
      </w:r>
    </w:p>
    <w:p w14:paraId="330386E2" w14:textId="77777777" w:rsidR="003E0BBE" w:rsidRDefault="00000000" w:rsidP="000D00AA">
      <w:pPr>
        <w:pStyle w:val="ListBullet"/>
        <w:jc w:val="both"/>
      </w:pPr>
      <w:r>
        <w:t>Designar administradores, configuradores, operadores y usuarios de consulta. AFP autoriza quién puede editar reglas, publicar versiones y solicitar reprocesos.</w:t>
      </w:r>
    </w:p>
    <w:p w14:paraId="330386E2" w14:textId="77777777" w:rsidR="003E0BBE" w:rsidRDefault="00000000" w:rsidP="000D00AA">
      <w:pPr>
        <w:pStyle w:val="ListBullet"/>
        <w:jc w:val="both"/>
      </w:pPr>
      <w:r>
        <w:t>Acordar autenticación del portal y de las APIs en semana 1. Si se requiere identidad corporativa, IT entregará especificación y ambiente de prueba; su integración deberá confirmarse dentro del alcance técnico.</w:t>
      </w:r>
    </w:p>
    <w:p w14:paraId="330386E2" w14:textId="77777777" w:rsidR="003E0BBE" w:rsidRDefault="00000000" w:rsidP="000D00AA">
      <w:pPr>
        <w:pStyle w:val="ListBullet"/>
        <w:jc w:val="both"/>
      </w:pPr>
      <w:r>
        <w:t>IT proporcionará cuentas de servicio separadas por ambiente, custodia de secretos, rotación y revocación. Las credenciales se entregarán por un canal seguro, nunca dentro de este documento ni en código o navegador.</w:t>
      </w:r>
    </w:p>
    <w:p w14:paraId="168809FE" w14:textId="63BB38E5" w:rsidR="003E0BBE" w:rsidRDefault="00000000" w:rsidP="000D00AA">
      <w:r>
        <w:t>MACAO implementará los controles de acceso de su aplicación y entregará las rutas y permisos requeridos. IT validará la configuración de red, certificados y controles institucionales antes del piloto.</w:t>
      </w:r>
    </w:p>
    <w:p w14:paraId="5A65DE69" w14:textId="77777777" w:rsidR="003E0BBE" w:rsidRDefault="00000000">
      <w:pPr>
        <w:pStyle w:val="Heading1"/>
        <w:pageBreakBefore/>
      </w:pPr>
      <w:r>
        <w:t>4 Integración con Oracle APEX</w:t>
      </w:r>
    </w:p>
    <w:p w14:paraId="5F072C91" w14:textId="20828F9F" w:rsidR="003E0BBE" w:rsidRDefault="00000000">
      <w:pPr>
        <w:pStyle w:val="Heading2"/>
      </w:pPr>
      <w:r>
        <w:t>Información y servicios que necesitamos de IT</w:t>
      </w:r>
    </w:p>
    <w:p w14:paraId="330386E2" w14:textId="77777777" w:rsidR="003E0BBE" w:rsidRDefault="00000000" w:rsidP="000D00AA">
      <w:pPr>
        <w:pStyle w:val="ListBullet"/>
        <w:jc w:val="both"/>
      </w:pPr>
      <w:r>
        <w:t>Designar un responsable técnico de APEX y proporcionar versiones de APEX, Oracle y ORDS cuando aplique, arquitectura de llamadas, ambientes, URLs y restricciones de integración.</w:t>
      </w:r>
    </w:p>
    <w:p w14:paraId="330386E2" w14:textId="77777777" w:rsidR="003E0BBE" w:rsidRDefault="00000000" w:rsidP="000D00AA">
      <w:pPr>
        <w:pStyle w:val="ListBullet"/>
        <w:jc w:val="both"/>
      </w:pPr>
      <w:r>
        <w:t>Entregar el diccionario de datos del formulario, catálogos, estados del expediente, campos obligatorios, identificadores y ejemplos autorizados de solicitudes y resultados esperados.</w:t>
      </w:r>
    </w:p>
    <w:p w14:paraId="330386E2" w14:textId="77777777" w:rsidR="003E0BBE" w:rsidRDefault="00000000" w:rsidP="000D00AA">
      <w:pPr>
        <w:pStyle w:val="ListBullet"/>
        <w:jc w:val="both"/>
      </w:pPr>
      <w:r>
        <w:t>Implementar el envío al motor y el consumo de estados y resultados desde APEX. IT conserva la bandeja de calidad y el envío al sistema central; la decisión de negocio permanece en personal autorizado.</w:t>
      </w:r>
    </w:p>
    <w:p w14:paraId="5F072C91" w14:textId="20828F9F" w:rsidR="003E0BBE" w:rsidRDefault="00000000">
      <w:pPr>
        <w:pStyle w:val="Heading2"/>
      </w:pPr>
      <w:r>
        <w:t>Contrato de intercambio que aprobaremos en conjunto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2"/>
        <w:gridCol w:w="7594"/>
      </w:tblGrid>
      <w:tr w:rsidR="003E0BBE" w14:paraId="119A9E0F" w14:textId="77777777">
        <w:trPr>
          <w:cantSplit/>
          <w:tblHeader/>
          <w:jc w:val="center"/>
        </w:trPr>
        <w:tc>
          <w:tcPr>
            <w:tcW w:w="2342" w:type="dxa"/>
            <w:tcBorders>
              <w:bottom w:val="single" w:sz="8" w:space="0" w:color="FF0006"/>
            </w:tcBorders>
            <w:shd w:val="clear" w:color="auto" w:fill="242021"/>
            <w:tcMar>
              <w:top w:w="85" w:type="dxa"/>
              <w:left w:w="85" w:type="dxa"/>
              <w:bottom w:w="85" w:type="dxa"/>
              <w:right w:w="85" w:type="dxa"/>
            </w:tcMar>
            <w:vAlign w:val="center"/>
          </w:tcPr>
          <w:p w14:paraId="796836E6" w14:textId="77777777" w:rsidR="003E0BBE" w:rsidRDefault="00000000" w:rsidP="000D00AA">
            <w:pPr>
              <w:spacing w:before="20" w:after="20" w:line="245" w:lineRule="auto"/>
            </w:pPr>
            <w:r>
              <w:rPr>
                <w:b/>
                <w:color w:val="FFFFFF"/>
                <w:sz w:val="20"/>
              </w:rPr>
              <w:t>Recurso</w:t>
            </w:r>
          </w:p>
        </w:tc>
        <w:tc>
          <w:tcPr>
            <w:tcW w:w="7594" w:type="dxa"/>
            <w:tcBorders>
              <w:bottom w:val="single" w:sz="8" w:space="0" w:color="FF0006"/>
            </w:tcBorders>
            <w:shd w:val="clear" w:color="auto" w:fill="242021"/>
            <w:tcMar>
              <w:top w:w="85" w:type="dxa"/>
              <w:left w:w="85" w:type="dxa"/>
              <w:bottom w:w="85" w:type="dxa"/>
              <w:right w:w="85" w:type="dxa"/>
            </w:tcMar>
            <w:vAlign w:val="center"/>
          </w:tcPr>
          <w:p w14:paraId="2E0F075F" w14:textId="77777777" w:rsidR="003E0BBE" w:rsidRDefault="00000000" w:rsidP="000D00AA">
            <w:pPr>
              <w:spacing w:before="20" w:after="20" w:line="245" w:lineRule="auto"/>
            </w:pPr>
            <w:r>
              <w:rPr>
                <w:b/>
                <w:color w:val="FFFFFF"/>
                <w:sz w:val="20"/>
              </w:rPr>
              <w:t>Requerimiento a cargo de Occidente</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Solicitud de análisis</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Identificador único del expediente, versión, clave de idempotencia, datos del formulario y documentos o referencias seguras. Confirmar campos y tamaños antes de implementar.</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Procesamiento</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Recepción con identificador de trabajo y consulta de estado. Preferir ejecución asíncrona para que APEX no dependa de una conexión abierta durante todo el análisis.</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Resultados</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Estado, expediente y versión, clasificación, campos extraídos, faltantes, inconsistencias, reglas aplicadas, evidencia disponible y observaciones para revisión.</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Entrega a APEX</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Definir consulta periódica o callback. Si se acuerda callback, IT habilita endpoint, autenticación y confirmación de recepción en APEX.</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Errores y reintentos</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Acordar catálogo de errores, tiempos de espera, frecuencia y límite de reintentos. Los duplicados no deben crear trabajos involuntarios y un error no equivale a aprobación.</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Corrección y reanálisis</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Distinguir una nueva versión del expediente y preservar el historial. APEX debe mostrar el resultado correspondiente a la versión vigente.</w:t>
            </w:r>
          </w:p>
        </w:tc>
      </w:tr>
    </w:tbl>
    <w:p w14:paraId="168809FE" w14:textId="63BB38E5" w:rsidR="003E0BBE" w:rsidRDefault="00000000" w:rsidP="000D00AA">
      <w:r>
        <w:t/>
      </w:r>
    </w:p>
    <w:p w14:paraId="5F072C91" w14:textId="20828F9F" w:rsidR="003E0BBE" w:rsidRDefault="00000000">
      <w:pPr>
        <w:pStyle w:val="Heading2"/>
      </w:pPr>
      <w:r>
        <w:t>Muestras y validación funcional</w:t>
      </w:r>
    </w:p>
    <w:p w14:paraId="168809FE" w14:textId="63BB38E5" w:rsidR="003E0BBE" w:rsidRDefault="00000000" w:rsidP="000D00AA">
      <w:r>
        <w:t>AFP y sus responsables de negocio entregarán la matriz aprobada de documentos, reglas y resultados esperados, junto con muestras autorizadas que cubran expedientes completos, incompletos, inconsistentes, ilegibles y corregidos. Se incluirán pruebas de duplicados, documentos no accesibles y caída temporal del proveedor.</w:t>
      </w:r>
    </w:p>
    <w:p w14:paraId="168809FE" w14:textId="63BB38E5" w:rsidR="003E0BBE" w:rsidRDefault="00000000" w:rsidP="000D00AA">
      <w:r>
        <w:t>MACAO documentará el contrato y desarrollará el extremo del motor; IT desarrollará y verificará el extremo APEX. El primer intercambio se probará en semana 2 y el recorrido integrado deberá estar disponible para el piloto de semana 6.</w:t>
      </w:r>
    </w:p>
    <w:p w14:paraId="5A65DE69" w14:textId="77777777" w:rsidR="003E0BBE" w:rsidRDefault="00000000">
      <w:pPr>
        <w:pStyle w:val="Heading1"/>
        <w:pageBreakBefore/>
      </w:pPr>
      <w:r>
        <w:t>5 Gemini y tratamiento de información</w:t>
      </w:r>
    </w:p>
    <w:p w14:paraId="5F072C91" w14:textId="20828F9F" w:rsidR="003E0BBE" w:rsidRDefault="00000000">
      <w:pPr>
        <w:pStyle w:val="Heading2"/>
      </w:pPr>
      <w:r>
        <w:t>Habilitación del servicio por Occidente</w:t>
      </w:r>
    </w:p>
    <w:p w14:paraId="168809FE" w14:textId="63BB38E5" w:rsidR="003E0BBE" w:rsidRDefault="00000000" w:rsidP="000D00AA">
      <w:r>
        <w:t>El modelo requerido es Gemini 3.5 Flash-Lite, con identificador gemini-3.5-flash-lite. Occidente deberá proporcionar acceso por API al modelo en el servicio y proyecto que autorice. Una suscripción de chat no sustituye la habilitación de la API.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2"/>
        <w:gridCol w:w="7594"/>
      </w:tblGrid>
      <w:tr w:rsidR="003E0BBE" w14:paraId="119A9E0F" w14:textId="77777777">
        <w:trPr>
          <w:cantSplit/>
          <w:tblHeader/>
          <w:jc w:val="center"/>
        </w:trPr>
        <w:tc>
          <w:tcPr>
            <w:tcW w:w="2342" w:type="dxa"/>
            <w:tcBorders>
              <w:bottom w:val="single" w:sz="8" w:space="0" w:color="FF0006"/>
            </w:tcBorders>
            <w:shd w:val="clear" w:color="auto" w:fill="242021"/>
            <w:tcMar>
              <w:top w:w="85" w:type="dxa"/>
              <w:left w:w="85" w:type="dxa"/>
              <w:bottom w:w="85" w:type="dxa"/>
              <w:right w:w="85" w:type="dxa"/>
            </w:tcMar>
            <w:vAlign w:val="center"/>
          </w:tcPr>
          <w:p w14:paraId="796836E6" w14:textId="77777777" w:rsidR="003E0BBE" w:rsidRDefault="00000000" w:rsidP="000D00AA">
            <w:pPr>
              <w:spacing w:before="20" w:after="20" w:line="245" w:lineRule="auto"/>
            </w:pPr>
            <w:r>
              <w:rPr>
                <w:b/>
                <w:color w:val="FFFFFF"/>
                <w:sz w:val="20"/>
              </w:rPr>
              <w:t>Recurso</w:t>
            </w:r>
          </w:p>
        </w:tc>
        <w:tc>
          <w:tcPr>
            <w:tcW w:w="7594" w:type="dxa"/>
            <w:tcBorders>
              <w:bottom w:val="single" w:sz="8" w:space="0" w:color="FF0006"/>
            </w:tcBorders>
            <w:shd w:val="clear" w:color="auto" w:fill="242021"/>
            <w:tcMar>
              <w:top w:w="85" w:type="dxa"/>
              <w:left w:w="85" w:type="dxa"/>
              <w:bottom w:w="85" w:type="dxa"/>
              <w:right w:w="85" w:type="dxa"/>
            </w:tcMar>
            <w:vAlign w:val="center"/>
          </w:tcPr>
          <w:p w14:paraId="2E0F075F" w14:textId="77777777" w:rsidR="003E0BBE" w:rsidRDefault="00000000" w:rsidP="000D00AA">
            <w:pPr>
              <w:spacing w:before="20" w:after="20" w:line="245" w:lineRule="auto"/>
            </w:pPr>
            <w:r>
              <w:rPr>
                <w:b/>
                <w:color w:val="FFFFFF"/>
                <w:sz w:val="20"/>
              </w:rPr>
              <w:t>Requerimiento a cargo de Occidente</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Proyecto y acceso</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Proyecto propiedad del banco, servicio habilitado y credenciales para pruebas y producción. Confirmar la modalidad de acceso, endpoint y disponibilidad del modelo en el proyecto elegido.</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Capacidad de consumo</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Cuotas disponibles para pruebas y operación, responsable de ampliarlas y alertas de consumo. Dimensionar solicitudes y tokens con muestras reales y concurrencia prevista.</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Autorización de datos</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Seguridad y los responsables de negocio autorizan los campos y documentos que pueden enviarse al proveedor, condiciones aplicables, región cuando corresponda y retención permitida.</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Prueba de conectividad</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Desde la VM del banco, verificar resolución, TLS, autenticación y una solicitud con un documento de prueba autorizado. Registrar evidencia sin exponer secretos ni contenido sensible.</w:t>
            </w:r>
          </w:p>
        </w:tc>
      </w:tr>
    </w:tbl>
    <w:p w14:paraId="168809FE" w14:textId="63BB38E5" w:rsidR="003E0BBE" w:rsidRDefault="00000000" w:rsidP="000D00AA">
      <w:r>
        <w:t/>
      </w:r>
    </w:p>
    <w:p w14:paraId="5F072C91" w14:textId="20828F9F" w:rsidR="003E0BBE" w:rsidRDefault="00000000">
      <w:pPr>
        <w:pStyle w:val="Heading2"/>
      </w:pPr>
      <w:r>
        <w:t>Procesamiento externo y controles de aplicación</w:t>
      </w:r>
    </w:p>
    <w:p w14:paraId="168809FE" w14:textId="63BB38E5" w:rsidR="003E0BBE" w:rsidRDefault="00000000" w:rsidP="000D00AA">
      <w:r>
        <w:t>Aunque el motor y el portal se instalen en un servidor local, el contenido que se envía a Gemini será procesado en el servicio externo autorizado. IT debe confirmar que la política del banco permite este flujo antes de utilizar expedientes reales.</w:t>
      </w:r>
    </w:p>
    <w:p w14:paraId="168809FE" w14:textId="63BB38E5" w:rsidR="003E0BBE" w:rsidRDefault="00000000" w:rsidP="000D00AA">
      <w:r>
        <w:t>MACAO aplicará límites de concurrencia y reintentos, registrará errores de cuota o disponibilidad y conservará la relación entre resultado, expediente y versión. Los documentos se tratarán como datos no confiables; su contenido no deberá habilitar acciones ni modificar reglas. Los casos inciertos o fallidos quedarán sujetos a revisión humana.</w:t>
      </w:r>
    </w:p>
    <w:p w14:paraId="5F072C91" w14:textId="20828F9F" w:rsidR="003E0BBE" w:rsidRDefault="00000000">
      <w:pPr>
        <w:pStyle w:val="Heading2"/>
      </w:pPr>
      <w:r>
        <w:t>Vigencia y sustitución del modelo</w:t>
      </w:r>
    </w:p>
    <w:p w14:paraId="168809FE" w14:textId="63BB38E5" w:rsidR="003E0BBE" w:rsidRDefault="00000000" w:rsidP="000D00AA">
      <w:r>
        <w:t>El banco será responsable de monitorear los avisos de deprecación o retiro del modelo por Google y mantener un modelo vigente, habilitando y coordinando su sustitución antes de la fecha de retiro. El reemplazo deberá validarse con el motor antes de producción. Las adaptaciones de software o pruebas adicionales que requieran intervención de MACAO se evaluarán y acordarán por escrito bajo soporte o control de cambios.</w:t>
      </w:r>
    </w:p>
    <w:p w14:paraId="168809FE" w14:textId="63BB38E5" w:rsidR="003E0BBE" w:rsidRDefault="00000000" w:rsidP="000D00AA">
      <w:r>
        <w:t>El responsable designado por IT documentará la versión utilizada y coordinará pruebas comparativas con el conjunto de referencia aprobado antes de cambiar el modelo. No se realizará una sustitución automática sin validación.</w:t>
      </w:r>
    </w:p>
    <w:p w14:paraId="5F072C91" w14:textId="20828F9F" w:rsidR="003E0BBE" w:rsidRDefault="00000000">
      <w:pPr>
        <w:pStyle w:val="Heading2"/>
      </w:pPr>
      <w:r>
        <w:t>Referencia técnica</w:t>
      </w:r>
    </w:p>
    <w:p w14:paraId="168809FE" w14:textId="63BB38E5" w:rsidR="003E0BBE" w:rsidRDefault="00000000" w:rsidP="000D00AA">
      <w:r>
        <w:t>Google AI for Developers, Gemini 3.5 Flash-Lite. Consultado el 14 de septiembre de 2026. https://ai.google.dev/gemini-api/docs/models/gemini-3.5-flash-lite</w:t>
      </w:r>
    </w:p>
    <w:p w14:paraId="5A65DE69" w14:textId="77777777" w:rsidR="003E0BBE" w:rsidRDefault="00000000">
      <w:pPr>
        <w:pStyle w:val="Heading1"/>
        <w:pageBreakBefore/>
      </w:pPr>
      <w:r>
        <w:t>6 Preparación operativa y entregas del banco</w:t>
      </w:r>
    </w:p>
    <w:p w14:paraId="5F072C91" w14:textId="20828F9F" w:rsidR="003E0BBE" w:rsidRDefault="00000000">
      <w:pPr>
        <w:pStyle w:val="Heading2"/>
      </w:pPr>
      <w:r>
        <w:t>Operación y continuidad</w:t>
      </w:r>
    </w:p>
    <w:p w14:paraId="168809FE" w14:textId="63BB38E5" w:rsidR="003E0BBE" w:rsidRDefault="00000000" w:rsidP="000D00AA">
      <w:r>
        <w:t>IT designará responsables de servidores, base de datos, repositorio, certificados, Gemini y soporte APEX. Antes de producción acordaremos retención de auditoría, pérdida máxima de datos aceptable y tiempo objetivo de recuperación. Estos objetivos requieren aprobación; no se presuponen niveles de servicio.</w:t>
      </w:r>
    </w:p>
    <w:p w14:paraId="330386E2" w14:textId="77777777" w:rsidR="003E0BBE" w:rsidRDefault="00000000" w:rsidP="000D00AA">
      <w:pPr>
        <w:pStyle w:val="ListBullet"/>
        <w:jc w:val="both"/>
      </w:pPr>
      <w:r>
        <w:t>Configurar monitoreo de disponibilidad, espacio, errores, trabajos pendientes y consumo de Gemini, con destinatarios y procedimiento de escalamiento.</w:t>
      </w:r>
    </w:p>
    <w:p w14:paraId="330386E2" w14:textId="77777777" w:rsidR="003E0BBE" w:rsidRDefault="00000000" w:rsidP="000D00AA">
      <w:pPr>
        <w:pStyle w:val="ListBullet"/>
        <w:jc w:val="both"/>
      </w:pPr>
      <w:r>
        <w:t>Programar respaldos de base, configuración y documentos según su custodia; proteger claves y probar restauración conjunta, incluyendo la coherencia de referencias documentales.</w:t>
      </w:r>
    </w:p>
    <w:p w14:paraId="330386E2" w14:textId="77777777" w:rsidR="003E0BBE" w:rsidRDefault="00000000" w:rsidP="000D00AA">
      <w:pPr>
        <w:pStyle w:val="ListBullet"/>
        <w:jc w:val="both"/>
      </w:pPr>
      <w:r>
        <w:t>Autorizar ventana de despliegue, procedimiento de reversión y contactos de incidente. MACAO instala y verifica su solución; IT administra el ambiente y sus controles.</w:t>
      </w:r>
    </w:p>
    <w:p w14:paraId="5F072C91" w14:textId="20828F9F" w:rsidR="003E0BBE" w:rsidRDefault="00000000">
      <w:pPr>
        <w:pStyle w:val="Heading2"/>
      </w:pPr>
      <w:r>
        <w:t>Calendario de prerrequisitos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2"/>
        <w:gridCol w:w="7594"/>
      </w:tblGrid>
      <w:tr w:rsidR="003E0BBE" w14:paraId="119A9E0F" w14:textId="77777777">
        <w:trPr>
          <w:cantSplit/>
          <w:tblHeader/>
          <w:jc w:val="center"/>
        </w:trPr>
        <w:tc>
          <w:tcPr>
            <w:tcW w:w="2342" w:type="dxa"/>
            <w:tcBorders>
              <w:bottom w:val="single" w:sz="8" w:space="0" w:color="FF0006"/>
            </w:tcBorders>
            <w:shd w:val="clear" w:color="auto" w:fill="242021"/>
            <w:tcMar>
              <w:top w:w="85" w:type="dxa"/>
              <w:left w:w="85" w:type="dxa"/>
              <w:bottom w:w="85" w:type="dxa"/>
              <w:right w:w="85" w:type="dxa"/>
            </w:tcMar>
            <w:vAlign w:val="center"/>
          </w:tcPr>
          <w:p w14:paraId="796836E6" w14:textId="77777777" w:rsidR="003E0BBE" w:rsidRDefault="00000000" w:rsidP="000D00AA">
            <w:pPr>
              <w:spacing w:before="20" w:after="20" w:line="245" w:lineRule="auto"/>
            </w:pPr>
            <w:r>
              <w:rPr>
                <w:b/>
                <w:color w:val="FFFFFF"/>
                <w:sz w:val="20"/>
              </w:rPr>
              <w:t>Hito</w:t>
            </w:r>
          </w:p>
        </w:tc>
        <w:tc>
          <w:tcPr>
            <w:tcW w:w="7594" w:type="dxa"/>
            <w:tcBorders>
              <w:bottom w:val="single" w:sz="8" w:space="0" w:color="FF0006"/>
            </w:tcBorders>
            <w:shd w:val="clear" w:color="auto" w:fill="242021"/>
            <w:tcMar>
              <w:top w:w="85" w:type="dxa"/>
              <w:left w:w="85" w:type="dxa"/>
              <w:bottom w:w="85" w:type="dxa"/>
              <w:right w:w="85" w:type="dxa"/>
            </w:tcMar>
            <w:vAlign w:val="center"/>
          </w:tcPr>
          <w:p w14:paraId="2E0F075F" w14:textId="77777777" w:rsidR="003E0BBE" w:rsidRDefault="00000000" w:rsidP="000D00AA">
            <w:pPr>
              <w:spacing w:before="20" w:after="20" w:line="245" w:lineRule="auto"/>
            </w:pPr>
            <w:r>
              <w:rPr>
                <w:b/>
                <w:color w:val="FFFFFF"/>
                <w:sz w:val="20"/>
              </w:rPr>
              <w:t>Entrega o participación de Occidente</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Semana 1</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IT confirma arquitectura, responsables, base de datos, autenticación, red y modalidad Gemini. AFP entrega reglas, muestras, volúmenes y criterios de aceptación.</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Inicio de semana 2</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IT entrega ambiente UAT operativo, accesos seguros, esquema o servicios de datos, repositorio de prueba y Gemini habilitado. Se verifica el primer intercambio con APEX.</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Semanas 3 a 5</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IT y MACAO completan contratos e integración; AFP valida reglas y resultados. IT prepara producción y resuelve requisitos de Seguridad.</w:t>
            </w:r>
          </w:p>
        </w:tc>
      </w:tr>
      <w:tr w:rsidR="003E0BBE" w14:paraId="703C6FA0" w14:textId="77777777">
        <w:trPr>
          <w:cantSplit/>
          <w:jc w:val="center"/>
        </w:trPr>
        <w:tc>
          <w:tcPr>
            <w:tcW w:w="2342" w:type="dxa"/>
            <w:shd w:val="clear" w:color="auto" w:fill="F5F5F5"/>
            <w:tcMar>
              <w:top w:w="85" w:type="dxa"/>
              <w:left w:w="85" w:type="dxa"/>
              <w:bottom w:w="85" w:type="dxa"/>
              <w:right w:w="85" w:type="dxa"/>
            </w:tcMar>
            <w:vAlign w:val="center"/>
          </w:tcPr>
          <w:p w14:paraId="5B1B1ACF" w14:textId="77777777" w:rsidR="003E0BBE" w:rsidRDefault="00000000" w:rsidP="000D00AA">
            <w:pPr>
              <w:spacing w:before="20" w:after="20" w:line="245" w:lineRule="auto"/>
            </w:pPr>
            <w:r>
              <w:rPr>
                <w:sz w:val="20"/>
              </w:rPr>
              <w:t>Semana 6</w:t>
            </w:r>
          </w:p>
        </w:tc>
        <w:tc>
          <w:tcPr>
            <w:tcW w:w="7594" w:type="dxa"/>
            <w:shd w:val="clear" w:color="auto" w:fill="F5F5F5"/>
            <w:tcMar>
              <w:top w:w="85" w:type="dxa"/>
              <w:left w:w="85" w:type="dxa"/>
              <w:bottom w:w="85" w:type="dxa"/>
              <w:right w:w="85" w:type="dxa"/>
            </w:tcMar>
            <w:vAlign w:val="center"/>
          </w:tcPr>
          <w:p w14:paraId="39E062D6" w14:textId="77777777" w:rsidR="003E0BBE" w:rsidRDefault="00000000" w:rsidP="000D00AA">
            <w:pPr>
              <w:spacing w:before="20" w:after="20" w:line="245" w:lineRule="auto"/>
            </w:pPr>
            <w:r>
              <w:rPr>
                <w:sz w:val="20"/>
              </w:rPr>
              <w:t>Piloto integrado con APEX, documentos y Gemini habilitados. AFP designa usuarios y registra incidencias y decisiones.</w:t>
            </w:r>
          </w:p>
        </w:tc>
      </w:tr>
      <w:tr w:rsidR="003E0BBE" w14:paraId="2050E983" w14:textId="77777777">
        <w:trPr>
          <w:cantSplit/>
          <w:jc w:val="center"/>
        </w:trPr>
        <w:tc>
          <w:tcPr>
            <w:tcW w:w="2342" w:type="dxa"/>
            <w:shd w:val="clear" w:color="auto" w:fill="FFFFFF"/>
            <w:tcMar>
              <w:top w:w="85" w:type="dxa"/>
              <w:left w:w="85" w:type="dxa"/>
              <w:bottom w:w="85" w:type="dxa"/>
              <w:right w:w="85" w:type="dxa"/>
            </w:tcMar>
            <w:vAlign w:val="center"/>
          </w:tcPr>
          <w:p w14:paraId="73AE510E" w14:textId="77777777" w:rsidR="003E0BBE" w:rsidRDefault="00000000" w:rsidP="000D00AA">
            <w:pPr>
              <w:spacing w:before="20" w:after="20" w:line="245" w:lineRule="auto"/>
            </w:pPr>
            <w:r>
              <w:rPr>
                <w:sz w:val="20"/>
              </w:rPr>
              <w:t>Semanas 7 y 8</w:t>
            </w:r>
          </w:p>
        </w:tc>
        <w:tc>
          <w:tcPr>
            <w:tcW w:w="7594" w:type="dxa"/>
            <w:shd w:val="clear" w:color="auto" w:fill="FFFFFF"/>
            <w:tcMar>
              <w:top w:w="85" w:type="dxa"/>
              <w:left w:w="85" w:type="dxa"/>
              <w:bottom w:w="85" w:type="dxa"/>
              <w:right w:w="85" w:type="dxa"/>
            </w:tcMar>
            <w:vAlign w:val="center"/>
          </w:tcPr>
          <w:p w14:paraId="01687B5A" w14:textId="77777777" w:rsidR="003E0BBE" w:rsidRDefault="00000000" w:rsidP="000D00AA">
            <w:pPr>
              <w:spacing w:before="20" w:after="20" w:line="245" w:lineRule="auto"/>
            </w:pPr>
            <w:r>
              <w:rPr>
                <w:sz w:val="20"/>
              </w:rPr>
              <w:t>AFP ejecuta UAT y autoriza el inicio operativo. IT habilita producción, respaldos, monitoreo y ventana de instalación; se realiza la entrega final.</w:t>
            </w:r>
          </w:p>
        </w:tc>
      </w:tr>
    </w:tbl>
    <w:p w14:paraId="168809FE" w14:textId="63BB38E5" w:rsidR="003E0BBE" w:rsidRDefault="00000000" w:rsidP="000D00AA">
      <w:r>
        <w:t/>
      </w:r>
    </w:p>
    <w:p w14:paraId="5F072C91" w14:textId="20828F9F" w:rsidR="003E0BBE" w:rsidRDefault="00000000">
      <w:pPr>
        <w:pStyle w:val="Heading2"/>
      </w:pPr>
      <w:r>
        <w:t>Cierre de la preparación técnica</w:t>
      </w:r>
    </w:p>
    <w:p w14:paraId="168809FE" w14:textId="63BB38E5" w:rsidR="003E0BBE" w:rsidRDefault="00000000" w:rsidP="000D00AA">
      <w:r>
        <w:t>Se registrará evidencia de acceso al portal, intercambio APEX con la versión correcta, lectura documental, escritura autorizada en la base, llamada a Gemini, rechazo de accesos sin permiso y recuperación de un error. Para producción se añadirá la prueba de respaldo y restauración y la conformidad operativa de IT y AFP.</w:t>
      </w:r>
    </w:p>
    <w:p w14:paraId="168809FE" w14:textId="63BB38E5" w:rsidR="003E0BBE" w:rsidRDefault="00000000" w:rsidP="000D00AA">
      <w:r>
        <w:t>La coordinación contempla seguimiento semanal, sesión técnica con IT de hasta 60 minutos y revisiones previstas en el plan. Las dependencias pendientes tendrán responsable y fecha; cualquier impacto en el piloto o las ocho semanas se documentará y acordará entre las partes.</w:t>
      </w:r>
    </w:p>
    <w:p w14:paraId="168809FE" w14:textId="63BB38E5" w:rsidR="003E0BBE" w:rsidRDefault="00000000" w:rsidP="000D00AA">
      <w:r>
        <w:t>Registro de conformidad técnica: responsable IT ____________________   Fecha __________</w:t>
        <w:br/>
        <w:t>Responsable AFP ____________________   Responsable MACAO ____________________</w:t>
      </w:r>
    </w:p>
    <w:sectPr w:rsidR="003E0BBE" w:rsidSect="00034616">
      <w:headerReference w:type="even" r:id="rId8"/>
      <w:headerReference w:type="default" r:id="rId9"/>
      <w:footerReference w:type="even" r:id="rId10"/>
      <w:footerReference w:type="default" r:id="rId11"/>
      <w:headerReference w:type="first" r:id="rId12"/>
      <w:footerReference w:type="first" r:id="rId13"/>
      <w:pgSz w:w="12240" w:h="15840"/>
      <w:pgMar w:top="1584" w:right="1152" w:bottom="979" w:left="1152" w:header="34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9DB7B8" w14:textId="77777777" w:rsidR="00AB3AA3" w:rsidRDefault="00AB3AA3">
      <w:pPr>
        <w:spacing w:after="0" w:line="240" w:lineRule="auto"/>
      </w:pPr>
      <w:r>
        <w:separator/>
      </w:r>
    </w:p>
  </w:endnote>
  <w:endnote w:type="continuationSeparator" w:id="0">
    <w:p w14:paraId="636E40F6" w14:textId="77777777" w:rsidR="00AB3AA3" w:rsidRDefault="00AB3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E5F91D" w14:textId="77777777" w:rsidR="000D00AA" w:rsidRDefault="000D00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00890" w14:textId="77777777" w:rsidR="003E0BBE" w:rsidRDefault="00000000">
    <w:pPr>
      <w:pStyle w:val="Footer"/>
      <w:pBdr>
        <w:top w:val="single" w:sz="4" w:space="7" w:color="D9D9D9"/>
      </w:pBdr>
      <w:tabs>
        <w:tab w:val="right" w:pos="9936"/>
      </w:tabs>
    </w:pPr>
    <w:r>
      <w:rPr>
        <w:color w:val="666666"/>
      </w:rPr>
      <w:t>REQ AFP 2026 001  |  v1.0</w:t>
    </w:r>
    <w:r>
      <w:rPr>
        <w:color w:val="666666"/>
      </w:rPr>
      <w:tab/>
    </w:r>
    <w:r>
      <w:fldChar w:fldCharType="begin"/>
    </w:r>
    <w:r>
      <w:instrText>PAGE</w:instrText>
    </w:r>
    <w:r>
      <w:fldChar w:fldCharType="separate"/>
    </w:r>
    <w:r>
      <w:rPr>
        <w:color w:val="666666"/>
      </w:rPr>
      <w:t>1</w:t>
    </w:r>
    <w:r>
      <w:rPr>
        <w:color w:val="666666"/>
      </w:rPr>
      <w:fldChar w:fldCharType="end"/>
    </w:r>
    <w:r>
      <w:rPr>
        <w:color w:val="666666"/>
      </w:rPr>
      <w:t xml:space="preserve"> / </w:t>
    </w:r>
    <w:r>
      <w:fldChar w:fldCharType="begin"/>
    </w:r>
    <w:r>
      <w:instrText>NUMPAGES</w:instrText>
    </w:r>
    <w:r>
      <w:fldChar w:fldCharType="separate"/>
    </w:r>
    <w:r>
      <w:rPr>
        <w:color w:val="666666"/>
      </w:rPr>
      <w:t>1</w:t>
    </w:r>
    <w:r>
      <w:rPr>
        <w:color w:val="66666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BE67C" w14:textId="77777777" w:rsidR="000D00AA" w:rsidRDefault="000D0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378F5E" w14:textId="77777777" w:rsidR="00AB3AA3" w:rsidRDefault="00AB3AA3">
      <w:pPr>
        <w:spacing w:after="0" w:line="240" w:lineRule="auto"/>
      </w:pPr>
      <w:r>
        <w:separator/>
      </w:r>
    </w:p>
  </w:footnote>
  <w:footnote w:type="continuationSeparator" w:id="0">
    <w:p w14:paraId="0083254F" w14:textId="77777777" w:rsidR="00AB3AA3" w:rsidRDefault="00AB3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450153" w14:textId="77777777" w:rsidR="000D00AA" w:rsidRDefault="000D00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3C438" w14:textId="77777777" w:rsidR="003E0BBE" w:rsidRDefault="00000000">
    <w:pPr>
      <w:pStyle w:val="Header"/>
      <w:pBdr>
        <w:bottom w:val="single" w:sz="8" w:space="5" w:color="FF0006"/>
      </w:pBdr>
      <w:tabs>
        <w:tab w:val="left" w:pos="979"/>
        <w:tab w:val="right" w:pos="9936"/>
      </w:tabs>
    </w:pPr>
    <w:r>
      <w:rPr>
        <w:noProof/>
      </w:rPr>
      <w:drawing>
        <wp:inline distT="0" distB="0" distL="0" distR="0" wp14:anchorId="1F11BFE9" wp14:editId="06FBFE20">
          <wp:extent cx="366677" cy="457200"/>
          <wp:effectExtent l="0" t="0" r="0" b="0"/>
          <wp:docPr id="1" name="Picture 1" descr="MACAO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CAO.png"/>
                  <pic:cNvPicPr/>
                </pic:nvPicPr>
                <pic:blipFill>
                  <a:blip r:embed="rId1"/>
                  <a:stretch>
                    <a:fillRect/>
                  </a:stretch>
                </pic:blipFill>
                <pic:spPr>
                  <a:xfrm>
                    <a:off x="0" y="0"/>
                    <a:ext cx="366677" cy="457200"/>
                  </a:xfrm>
                  <a:prstGeom prst="rect">
                    <a:avLst/>
                  </a:prstGeom>
                </pic:spPr>
              </pic:pic>
            </a:graphicData>
          </a:graphic>
        </wp:inline>
      </w:drawing>
    </w:r>
    <w:r>
      <w:rPr>
        <w:b/>
        <w:color w:val="000000"/>
        <w:position w:val="19"/>
        <w:sz w:val="18"/>
      </w:rPr>
      <w:tab/>
    </w:r>
    <w:r>
      <w:rPr>
        <w:b/>
        <w:color w:val="000000"/>
        <w:position w:val="19"/>
        <w:sz w:val="18"/>
      </w:rPr>
      <w:t>MACAO Solutions S. de R.L.</w:t>
    </w:r>
    <w:r>
      <w:tab/>
    </w:r>
    <w:r>
      <w:rPr>
        <w:noProof/>
      </w:rPr>
      <w:drawing>
        <wp:inline distT="0" distB="0" distL="0" distR="0" wp14:anchorId="0C50D91C" wp14:editId="14A5C597">
          <wp:extent cx="1389888" cy="551817"/>
          <wp:effectExtent l="0" t="0" r="0" b="0"/>
          <wp:docPr id="2" name="Picture 2" descr="AFP Occi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pc-occidente-logo.png"/>
                  <pic:cNvPicPr/>
                </pic:nvPicPr>
                <pic:blipFill>
                  <a:blip r:embed="rId2"/>
                  <a:stretch>
                    <a:fillRect/>
                  </a:stretch>
                </pic:blipFill>
                <pic:spPr>
                  <a:xfrm>
                    <a:off x="0" y="0"/>
                    <a:ext cx="1389888" cy="55181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5C48A" w14:textId="77777777" w:rsidR="000D00AA" w:rsidRDefault="000D0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696114">
    <w:abstractNumId w:val="8"/>
  </w:num>
  <w:num w:numId="2" w16cid:durableId="254897444">
    <w:abstractNumId w:val="6"/>
  </w:num>
  <w:num w:numId="3" w16cid:durableId="1907765968">
    <w:abstractNumId w:val="5"/>
  </w:num>
  <w:num w:numId="4" w16cid:durableId="747574259">
    <w:abstractNumId w:val="4"/>
  </w:num>
  <w:num w:numId="5" w16cid:durableId="253250499">
    <w:abstractNumId w:val="7"/>
  </w:num>
  <w:num w:numId="6" w16cid:durableId="181283359">
    <w:abstractNumId w:val="3"/>
  </w:num>
  <w:num w:numId="7" w16cid:durableId="1183935988">
    <w:abstractNumId w:val="2"/>
  </w:num>
  <w:num w:numId="8" w16cid:durableId="639961084">
    <w:abstractNumId w:val="1"/>
  </w:num>
  <w:num w:numId="9" w16cid:durableId="10080246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0AA"/>
    <w:rsid w:val="0015074B"/>
    <w:rsid w:val="0029639D"/>
    <w:rsid w:val="00326F90"/>
    <w:rsid w:val="003E0BBE"/>
    <w:rsid w:val="00584313"/>
    <w:rsid w:val="00954C23"/>
    <w:rsid w:val="00AA1D8D"/>
    <w:rsid w:val="00AB3A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54E19"/>
  <w14:defaultImageDpi w14:val="300"/>
  <w15:docId w15:val="{CA76C3C7-19DF-5747-89C5-D8121D51E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Calibri" w:hAnsi="Calibri"/>
      <w:color w:val="242021"/>
      <w:lang w:val="es-HN"/>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rFonts w:asciiTheme="majorHAnsi" w:eastAsiaTheme="majorEastAsia" w:hAnsiTheme="majorHAnsi" w:cstheme="majorBidi"/>
      <w:b/>
      <w:color w:val="000000"/>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4" w:lineRule="auto"/>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59C3B8-5BC4-914B-AD58-79DF10AF5071}">
  <we:reference id="WA200010453" version="1.0.0.1" store="Omex" storeType="OMEX"/>
  <we:alternateReferences>
    <we:reference id="WA200010453" version="1.0.0.1" store="WA200010453" storeType="OMEX"/>
  </we:alternateReferences>
  <we:properties>
    <we:property name="claude.fileId" value="&quot;b6e6c04f-ceeb-497a-9c44-6819887f5af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3138</Words>
  <Characters>18862</Characters>
  <Application>Microsoft Office Word</Application>
  <DocSecurity>0</DocSecurity>
  <Lines>419</Lines>
  <Paragraphs>265</Paragraphs>
  <ScaleCrop>false</ScaleCrop>
  <HeadingPairs>
    <vt:vector size="2" baseType="variant">
      <vt:variant>
        <vt:lpstr>Title</vt:lpstr>
      </vt:variant>
      <vt:variant>
        <vt:i4>1</vt:i4>
      </vt:variant>
    </vt:vector>
  </HeadingPairs>
  <TitlesOfParts>
    <vt:vector size="1" baseType="lpstr">
      <vt:lpstr>Propuesta de motor de análisis y portal administrativo para AFP Occidente</vt:lpstr>
    </vt:vector>
  </TitlesOfParts>
  <Manager/>
  <Company/>
  <LinksUpToDate>false</LinksUpToDate>
  <CharactersWithSpaces>21735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motor de análisis y portal administrativo para AFP Occidente</dc:title>
  <dc:subject>Integración con Oracle APEX e implementación en infraestructura del banco</dc:subject>
  <dc:creator>MACAO Solutions S. de R.L.</dc:creator>
  <cp:keywords/>
  <dc:description>generated by python-docx</dc:description>
  <cp:lastModifiedBy>Carlos Caceres</cp:lastModifiedBy>
  <cp:revision>2</cp:revision>
  <cp:lastPrinted>2026-09-14T19:13:00Z</cp:lastPrinted>
  <dcterms:created xsi:type="dcterms:W3CDTF">2013-12-23T23:15:00Z</dcterms:created>
  <dcterms:modified xsi:type="dcterms:W3CDTF">2026-09-14T19:17:00Z</dcterms:modified>
  <cp:category/>
</cp:coreProperties>
</file>