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B08D57"/>
          <w:spacing w:val="20"/>
          <w:sz w:val="24"/>
          <w:szCs w:val="24"/>
        </w:rPr>
        <w:t xml:space="preserve">ESTUDO TÉCNICO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B57"/>
          <w:sz w:val="44"/>
          <w:szCs w:val="44"/>
        </w:rPr>
        <w:t xml:space="preserve">A Reforma Tributária do Consumo e seus Impactos sobre a Cadeia de Combustíveis e Bioenergia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2E7D32"/>
          <w:sz w:val="28"/>
          <w:szCs w:val="28"/>
        </w:rPr>
        <w:t xml:space="preserve">Um estudo aplicado ao caso da Raízen S.A.</w:t>
      </w:r>
    </w:p>
    <w:p>
      <w:pPr>
        <w:spacing w:after="60" w:before="24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Julho de 2026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preparado para fins de análise estratégica e tributária</w:t>
      </w:r>
    </w:p>
    <w:p>
      <w:r>
        <w:br w:type="page"/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Sumário Executivo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Emenda Constitucional nº 132/2023 e a Lei Complementar nº 214/2025 substituem cinco tributos sobre o consumo — PIS, Cofins, ICMS, ISS e, em grande parte, o IPI — por um Imposto sobre Valor Agregado (IVA) dual, composto pela Contribuição sobre Bens e Serviços (CBS, federal) e pelo Imposto sobre Bens e Serviços (IBS, subnacional), acompanhados de um Imposto Seletivo (IS) sobre bens e serviços prejudiciais à saúde ou ao meio ambiente. A transição é longa (2026–2033) e convive, por quase uma década, com o sistema tributário atual.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 Raízen — joint venture entre Cosan e Shell e uma das maiores empresas de energia do Brasil, com atuação em produção de etanol, açúcar e bioenergia a partir da cana-de-açúcar, e em distribuição de combustíveis sob a marca Shell — a reforma tem relevância direta e assimétrica entre seus segmentos. O setor de combustíveis recebeu regime próprio (arts. 172 a 180 da LC 214/2025), baseado em tributação monofásica, alíquotas uniformes nacionais e apuração por unidade de medida (ad rem), com vedação de crédito nas etapas de distribuição e revenda. Paralelamente, o etanol e outros biocombustíveis recebem tratamento diferenciado: suas alíquotas de IBS/CBS devem situar-se entre 40% e 90% da alíquota aplicável ao combustível fóssil equivalente, preservando — ou, a depender da regulamentação infralegal, comprimindo — a vantagem histórica de competitividade do etanol frente à gasolina.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estudo sistematiza o novo arcabouço normativo, mapeia seus efeitos por segmento de negócio da Raízen e aponta desafios operacionais (sistemas fiscais, split payment, apuração centralizada) e financeiros — estes últimos particularmente sensíveis no contexto de recuperação extrajudicial em que a companhia se encontra, dado o peso do fluxo de créditos tributários e do descasamento temporal entre a extinção dos tributos antigos e a plena vigência dos novos.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1. Introdução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sistema tributário brasileiro sobre o consumo é historicamente apontado como um dos mais complexos do mundo, marcado pela sobreposição de tributos federais (PIS, Cofins, IPI), estadual (ICMS) e municipal (ISS), cada qual com legislação, alíquotas e regimes de apuração próprios. Para setores de cadeia longa e capital intensivo — como o de combustíveis e bioenergia —, essa complexidade se traduz historicamente em disputas sobre substituição tributária, guerra fiscal do ICMS monofásico e acúmulo de créditos.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Emenda Constitucional nº 132, promulgada em dezembro de 2023, iniciou a reforma tributária do consumo, substituindo o modelo cumulativo/fragmentado por um IVA dual de base ampla, complementado por um Imposto Seletivo extrafiscal. A regulamentação infraconstitucional veio com a Lei Complementar nº 214, de 16 de janeiro de 2025, que detalha fatos geradores, bases de cálculo, regimes específicos e cronograma de transição, além de normas subsequentes — como o Decreto nº 12.955/2026, que regulamenta a CBS, e a Resolução CGIBS nº 6/2026 — que iniciaram a operacionalização do novo sistema em 2026, ano definido como "fase de testes", sem cobrança efetiva dos novos tributos.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Raízen S.A. é protagonista direta desse processo: como uma das maiores produtoras de etanol e açúcar do mundo e uma das principais distribuidoras de combustíveis do Brasil, a companhia opera exatamente nos elos da cadeia — produção agroindustrial, refino/produção de biocombustíveis e distribuição/revenda — para os quais a reforma desenhou regras específicas e, em boa medida, divergentes das regras gerais do IVA. Este documento tem por objetivo apresentar, de forma técnica e aplicada, os principais dispositivos da reforma relevantes para o setor de combustíveis e bioenergia e discutir suas implicações para a estratégia tributária, financeira e operacional da Raízen.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2. Panorama Geral da Reforma Tributária do Consumo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2.1 Os novos tributos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reforma cria três novas figuras tributárias, que substituem gradualmente os tributos sobre o consumo hoje vigentes: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CBS (Contribuição sobre Bens e Serviços) — tributo federal que substitui PIS e Cofins;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IBS (Imposto sobre Bens e Serviços) — tributo subnacional, de competência compartilhada entre estados e municípios, que substitui ICMS e ISS, administrado por um Comitê Gestor (CGIBS);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Imposto Seletivo (IS) — tributo federal extrafiscal, incidente de forma monofásica sobre bens e serviços considerados prejudiciais à saúde ou ao meio ambiente, entre eles cigarros, bebidas alcoólicas, veículos altamente poluentes e combustíveis fósseis.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modelo é não cumulativo em regra geral (crédito amplo ao longo da cadeia, "IVA de destino"), com arrecadação centralizada e distribuição por local de consumo — o que tende a reduzir a guerra fiscal entre entes federativos. Regimes específicos, no entanto, afastam parcial ou totalmente essa lógica geral para setores considerados estratégicos ou de difícil fiscalização plena, entre os quais o de combustíveis, tratado na Seção 4.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2.2 Cronograma de transição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transição para o novo sistema é escalonada ao longo de aproximadamente uma década, com testes de arrecadação em 2026, cobrança efetiva de CBS e do Imposto Seletivo a partir de 2027, e substituição gradual do ICMS/ISS pelo IBS entre 2029 e 2032, com extinção definitiva dos tributos estaduais e municipais em 2033. O quadro a seguir resume os principais marcos.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600"/>
        <w:gridCol w:w="2600"/>
      </w:tblGrid>
      <w:tr>
        <w:trPr>
          <w:tblHeader/>
        </w:trPr>
        <w:tc>
          <w:tcPr>
            <w:tcW w:type="dxa" w:w="22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CBS (federal)</w:t>
            </w:r>
          </w:p>
        </w:tc>
        <w:tc>
          <w:tcPr>
            <w:tcW w:type="dxa" w:w="3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IBS (estados/municípios)</w:t>
            </w:r>
          </w:p>
        </w:tc>
        <w:tc>
          <w:tcPr>
            <w:tcW w:type="dxa" w:w="2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Tributos antigos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2026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Alíquota de teste (0,9%), sem efeito arrecadatório líquido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Alíquota de teste (0,1%), sem efeito arrecadatório líquido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PIS/Cofins, ICMS, ISS plenamente vigentes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2027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Cobrança efetiva da CBS; Imposto Seletivo passa a incidir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Alíquota de teste mantida em 0,05%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Extinção de PIS/Cofins; redução de IPI (exceto Zona Franca)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2029–2032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Mantida, com ajustes anuais de carga sobre combustíveis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Transição gradual: ICMS/ISS reduzidos 10 p.p./ano enquanto IBS sobe na mesma proporção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Convivência progressiva entre sistema antigo e novo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2033</w:t>
            </w:r>
          </w:p>
        </w:tc>
        <w:tc>
          <w:tcPr>
            <w:tcW w:type="dxa" w:w="3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Sistema plenamente consolidado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Extinção definitiva de ICMS e ISS</w:t>
            </w:r>
          </w:p>
        </w:tc>
        <w:tc>
          <w:tcPr>
            <w:tcW w:type="dxa" w:w="26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Modelo IVA dual (IBS + CBS) em regime pleno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1 — Cronograma simplificado de transição da Reforma Tributária do Consumo (EC 132/2023 e LC 214/2025).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Esse cronograma longo implica que a Raízen conviverá, por vários exercícios fiscais, com dois sistemas tributários paralelos — o que multiplica a complexidade de compliance, exige adaptação simultânea de sistemas fiscais (ERP, EFD, emissão de NF-e/NFC-e com novos campos de IBS/CBS) e recomenda planejamento tributário de médio prazo que considere ambos os regimes durante a convivência.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3. A Raízen: Perfil e Cadeia de Valor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Raízen S.A. é uma joint venture entre a Cosan e a Shell, consolidada como uma das maiores empresas de energia do Brasil e uma das líderes mundiais em bioenergia. Sua atuação organiza-se essencialmente em torno de dois grandes blocos de negócio: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Etanol, Açúcar e Bioenergia (EAB) — processamento de cana-de-açúcar (estimativa de 72 a 75 milhões de toneladas na safra 2025/26), produção de etanol de primeira e segunda geração (E2G), açúcar para exportação e mercado interno, e cogeração de energia elétrica a partir de biomassa;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Mobilidade e Distribuição de Combustíveis — distribuição e revenda de combustíveis sob a marca Shell, incluindo rede de postos, varejo de conveniência e lubrificantes.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Essa estrutura coloca a Raízen simultaneamente na ponta agroindustrial (produtora de insumo agrícola e de biocombustível) e na ponta de distribuição/revenda (comercializadora de combustíveis fósseis e biocombustíveis ao consumidor final) — os dois elos para os quais a reforma tributária desenhou regimes específicos e, em certa medida, contrapostos. É relevante registrar também que a companhia atravessa, desde 2025, processo de recuperação extrajudicial e reorganização societária (concentração de ativos de cana-de-açúcar e etanol na Raízen Energia S.A.), o que reforça a importância de antecipar os efeitos de caixa e de compliance da reforma nesse período de reestruturação financeira (Seção 8).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4. O Regime Específico de Combustíveis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artigos 172 a 180 da Lei Complementar nº 214/2025 instituem um regime próprio de IBS e CBS para operações com combustíveis, rompendo com a lógica geral de tributação por valor da operação em cada etapa da cadeia. Os elementos centrais desse regime são: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4.1 Monofasia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IBS e a CBS incidem uma única vez sobre os combustíveis, normalmente na etapa de produção ou de importação. Nas etapas subsequentes — distribuição, comercialização e revenda —, não há nova incidência desses tributos. Trata-se de lógica análoga à da atual substituição tributária/monofasia do ICMS sobre combustíveis, porém unificada nacionalmente para os dois novos tributos.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4.2 Alíquotas uniformes e tributação específica (ad rem)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Diferentemente da regra geral do IVA — incidência ad valorem sobre o preço da operação —, combustíveis são tributados com base em unidade de medida (por exemplo, o litro), com alíquotas uniformes em todo o território nacional, fixadas anualmente pelo Comitê Gestor do IBS e pelo Poder Executivo federal (CBS). O objetivo declarado é simplificar a apuração, reduzir a manipulação de base de cálculo e uniformizar a carga tributária entre estados, historicamente heterogênea sob o ICMS monofásico.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4.3 Vedação de crédito na distribuição e revenda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Distribuidoras, comercializadoras e revendedoras (postos de combustível) não apropriam créditos de IBS/CBS sobre suas aquisições de combustível — o tributo já foi recolhido integralmente na origem e embutido no preço de aquisição. Créditos permanecem assegurados apenas para hipóteses fora da cadeia de revenda, como o uso do combustível como insumo em processo produtivo próprio.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Para a Raízen, isso significa que o elo de distribuição (marca Shell) deixa de ter apuração própria de débito e crédito sobre o combustível revendido: o tributo já chega embutido no custo de aquisição, e a margem de distribuição passa a ser, do ponto de vista do IVA, uma operação neutra em termos de crédito — o que exige repensar a estrutura de precificação e a mensuração de margem líquida de tributos ao longo da cadeia.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4.4 Apuração centralizada e ajuste de carga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carga tributária de referência sobre combustíveis considera também o ônus tributário indireto incidente sobre insumos, serviços e bens de capital utilizados na produção, importação e comercialização, sendo reajustada anualmente — a partir de 2027 para a CBS e de 2029 para o IBS — com base na variação de preços médios ao consumidor final. Esse mecanismo de ajuste anual introduz um fator de incerteza regulatória que deve ser monitorado ano a ano pela área tributária da companhia.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5. Imposto Seletivo sobre Combustíveis Fósseis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Imposto Seletivo, de competência federal, incide de forma monofásica sobre bens e serviços considerados prejudiciais à saúde ou ao meio ambiente, entre os quais a Constituição e a LC 214/2025 expressamente incluem combustíveis fósseis — gasolina, diesel e outros derivados de petróleo. A cobrança efetiva do IS tem início em 2027, junto com a CBS.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IS não incide sobre biocombustíveis (etanol, biodiesel) nem sobre hidrogênio de baixa emissão de carbono, o que configura, por si só, um diferencial competitivo relevante em favor do portfólio renovável da Raízen frente aos combustíveis fósseis concorrentes — soma-se, assim, ao tratamento diferenciado de alíquotas de IBS/CBS descrito na Seção 6.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6. Tratamento Diferenciado dos Biocombustíveis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 dos pontos de maior relevância estratégica para a Raízen é a regra constitucional e legal que veda equiparação plena entre a tributação de biocombustíveis e a de combustíveis fósseis. A LC 214/2025 determina que as alíquotas de IBS e CBS aplicáveis a biocombustíveis (como o etanol) e ao hidrogênio de baixa emissão de carbono: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não podem ser inferiores a 40% da alíquota aplicável ao combustível fóssil comparável; e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não podem exceder 90% dessa mesma alíquota.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Na prática, isso assegura um piso de diferenciação tributária em favor do etanol frente à gasolina — preservando, ao menos parcialmente, o mecanismo que hoje sustenta a competitividade do etanol nas bombas (a chamada "razão de paridade" entre os preços de gasolina e etanol, historicamente também influenciada pela carga tributária diferenciada de ICMS). Contudo, a banda de 40% a 90% é ampla, e o valor efetivo dentro desse intervalo dependerá de decisões infralegais do Comitê Gestor do IBS e do Poder Executivo federal — parâmetro que a Raízen deve acompanhar de perto, dado seu efeito direto sobre a demanda por etanol hidratado e anidro e sobre a economia da mistura obrigatória (blend) de etanol na gasolina.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Some-se a isso o regime de crédito presumido para insumos do agronegócio, tratado a seguir, que afeta diretamente o custo tributário da cana-de-açúcar como principal insumo do etanol e do açúcar produzidos pela companhia.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7. Regime do Agronegócio e Créditos Presumidos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LC 214/2025 institui hipóteses taxativas de crédito presumido de IBS/CBS, técnica que autoriza a apropriação de crédito fiscal independentemente do destaque do tributo na operação anterior, mediante percentual próprio definido em lei. O regime beneficia, entre outros, insumos agropecuários e produtos in natura — relevante para a Raízen tanto na aquisição de cana-de-açúcar de fornecedores terceiros quanto na aquisição de insumos agrícolas (fertilizantes, defensivos, sementes) para as áreas próprias de cultivo.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calibragem desses créditos presumidos é decisiva para o custo tributário efetivo da cadeia agroindustrial: quanto maior o crédito presumido reconhecido sobre a cana adquirida de terceiros, menor a distorção competitiva entre cana própria (verticalizada) e cana de fornecedores independentes — um tema historicamente sensível no setor sucroenergético e que deve ser monitorado à medida que a regulamentação infralegal do regime do agronegócio avança.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8. Impactos por Segmento de Negócio da Raízen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tabela a seguir sintetiza a principal exposição tributária e o vetor de impacto da reforma para cada linha de negócio relevante da companhia.</w:t>
      </w:r>
    </w:p>
    <w:tbl>
      <w:tblPr>
        <w:tblW w:type="dxa" w:w="12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500"/>
        <w:gridCol w:w="4900"/>
      </w:tblGrid>
      <w:tr>
        <w:trPr>
          <w:tblHeader/>
        </w:trPr>
        <w:tc>
          <w:tcPr>
            <w:tcW w:type="dxa" w:w="26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Segmento Raízen</w:t>
            </w:r>
          </w:p>
        </w:tc>
        <w:tc>
          <w:tcPr>
            <w:tcW w:type="dxa" w:w="45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Principal exposição tributária</w:t>
            </w:r>
          </w:p>
        </w:tc>
        <w:tc>
          <w:tcPr>
            <w:tcW w:type="dxa" w:w="4900"/>
            <w:shd w:fill="1F3B5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Vetor de impacto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Etanol, Açúcar e Bioenergia (cana-de-açúcar)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Regime específico de combustíveis; regime do agronegócio (créditos presumidos sobre insumos agropecuários)</w:t>
            </w:r>
          </w:p>
        </w:tc>
        <w:tc>
          <w:tcPr>
            <w:tcW w:type="dxa" w:w="4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Alíquota do etanol travada entre 40% e 90% da alíquota do combustível fóssil equivalente; créditos presumidos na aquisição de insumos agrícolas reduzem a base efetiva; necessidade de segregar cadeia própria (usina) de cadeia de terceiros (fornecedores de cana)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Distribuição de Combustíveis (marca Shell)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Monofasia de IBS/CBS na produção/importação; Imposto Seletivo sobre combustíveis fósseis; vedação de crédito na revenda</w:t>
            </w:r>
          </w:p>
        </w:tc>
        <w:tc>
          <w:tcPr>
            <w:tcW w:type="dxa" w:w="4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Tributo recolhido uma única vez, na origem, com repasse embutido no preço; distribuidora não apura nem credita IBS/CBS na revenda, exigindo reengenharia de precificação, margem e sistemas fiscais (ERP/EFD)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Renováveis, Bioenergia Elétrica e E2G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Regras gerais de IBS/CBS sobre geração e venda de energia; possíveis incentivos a hidrogênio de baixa emissão de carbono</w:t>
            </w:r>
          </w:p>
        </w:tc>
        <w:tc>
          <w:tcPr>
            <w:tcW w:type="dxa" w:w="4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Hidrogênio de baixa emissão recebe o mesmo teto relativo de alíquota (40%–90%) aplicado aos biocombustíveis, criando espaço de vantagem competitiva frente a fontes fósseis</w:t>
            </w:r>
          </w:p>
        </w:tc>
      </w:tr>
      <w:tr>
        <w:tc>
          <w:tcPr>
            <w:tcW w:type="dxa" w:w="2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Varejo de Conveniência</w:t>
            </w:r>
          </w:p>
        </w:tc>
        <w:tc>
          <w:tcPr>
            <w:tcW w:type="dxa" w:w="4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Regras gerais de bens e serviços (não abrangidas pelo regime monofásico de combustíveis)</w:t>
            </w:r>
          </w:p>
        </w:tc>
        <w:tc>
          <w:tcPr>
            <w:tcW w:type="dxa" w:w="49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Sujeição ao regime padrão do IVA dual, com aproveitamento amplo de créditos ao longo da cadeia — em contraste com a lógica monofásica do combustível vendido no mesmo ponto de venda</w:t>
            </w:r>
          </w:p>
        </w:tc>
      </w:tr>
    </w:tbl>
    <w:p>
      <w:pPr>
        <w:spacing w:after="260" w:before="8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Tabela 2 — Síntese dos impactos da Reforma Tributária por segmento de negócio da Raízen.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9. Desafios Operacionais e Financeiros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9.1 Adaptação de sistemas e compliance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ano de 2026 já exige adequação de sistemas fiscais — ERP, emissão de NF-e/NFC-e e EFDs — para contemplar os novos campos de IBS e CBS, inclusive o preenchimento obrigatório do grupo de tributação específico para combustíveis (monofasia), conforme orientações da Receita Federal e do Comitê Gestor do IBS para o período de testes. Dada a escala operacional da Raízen — múltiplas usinas, terminais, base de distribuição e milhares de pontos de revenda —, a curva de adaptação tende a ser mais longa e custosa do que a média do mercado, recomendando início imediato de projetos de adequação tributária e de TI, ainda que sem efeito arrecadatório em 2026.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9.2 Split payment e fluxo de caixa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desenho do IBS/CBS contempla mecanismos de recolhimento automático (split payment) em determinadas operações, o que pode alterar o timing de caixa da companhia — hoje beneficiada, em alguma medida, pelo prazo entre a venda e o recolhimento de tributos indiretos. Para uma empresa com estrutura de capital sob reestruturação, qualquer antecipação do desembolso tributário tem efeito direto sobre a gestão de caixa e deve ser modelada com prioridade.</w:t>
      </w:r>
    </w:p>
    <w:p>
      <w:pPr>
        <w:pStyle w:val="Heading2"/>
        <w:spacing w:after="160" w:before="320"/>
      </w:pPr>
      <w:r>
        <w:rPr>
          <w:rFonts w:ascii="Calibri" w:cs="Calibri" w:eastAsia="Calibri" w:hAnsi="Calibri"/>
          <w:b/>
          <w:bCs/>
          <w:color w:val="2E7D32"/>
          <w:sz w:val="24"/>
          <w:szCs w:val="24"/>
        </w:rPr>
        <w:t xml:space="preserve">9.3 Contexto de recuperação extrajudicial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Raízen anunciou, a partir de 2025, plano de redução de investimentos, simplificação de negócios e reorganização societária, em meio a dificuldades financeiras que levaram a processo de recuperação extrajudicial. Nesse cenário, a gestão de créditos tributários acumulados sob o sistema atual (créditos de ICMS, PIS/Cofins) e sua transição — ou eventual perda de valor — para o novo sistema é tema crítico: a LC 214/2025 prevê regras de aproveitamento de saldos credores remanescentes, mas a mecânica de ressarcimento/compensação ao longo da transição deve ser mapeada em conjunto com o plano de recuperação financeira da companhia, evitando que ativos fiscais relevantes percam liquidez durante o período de convivência entre os dois sistemas.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10. Recomendações Estratégicas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Constituir grupo de trabalho interdisciplinar (tributário, financeiro, TI e regulatório) dedicado a acompanhar a regulamentação infralegal — resoluções do CGIBS e decretos federais — que definirá os percentuais efetivos de alíquota do etanol dentro da banda de 40%–90% e os parâmetros do crédito presumido do agronegócio;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Priorizar a adequação de sistemas fiscais (ERP/EFD/NF-e) ao regime monofásico de combustíveis já no período de testes de 2026, para evitar passivos de compliance quando a cobrança efetiva iniciar em 2027;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Modelar o impacto de caixa do split payment e da antecipação de recolhimento sobre o capital de giro, integrando essa análise ao plano de recuperação extrajudicial em curso;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Mapear e proteger o valor dos créditos tributários acumulados no sistema atual (ICMS, PIS/Cofins), assegurando seu aproveitamento ou compensação ao longo da transição até 2033;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Participar ativamente do processo de regulamentação e de consulta pública do Comitê Gestor do IBS, dado o peso econômico e social do setor sucroenergético na fixação de parâmetros que afetam diretamente a competitividade do etanol frente à gasolina;</w:t>
      </w:r>
    </w:p>
    <w:p>
      <w:pPr>
        <w:pStyle w:val="ListParagraph"/>
        <w:numPr>
          <w:ilvl w:val="0"/>
          <w:numId w:val="2"/>
        </w:numPr>
        <w:spacing w:after="120" w:line="280"/>
      </w:pPr>
      <w:r>
        <w:rPr>
          <w:rFonts w:ascii="Calibri" w:cs="Calibri" w:eastAsia="Calibri" w:hAnsi="Calibri"/>
          <w:sz w:val="22"/>
          <w:szCs w:val="22"/>
        </w:rPr>
        <w:t xml:space="preserve">Reavaliar a política de preços e margens entre os segmentos de produção (EAB) e distribuição (Shell), tendo em vista a vedação de crédito na revenda e a mudança na forma de apuração do tributo embutido no custo de aquisição do combustível.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11. Conclusão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 Reforma Tributária do Consumo representa a mudança mais profunda no sistema tributário brasileiro em décadas, e seus efeitos sobre o setor de combustíveis e bioenergia são particularmente intensos, dado o tratamento específico conferido pela LC 214/2025 — monofasia, alíquotas uniformes ad rem, vedação de crédito na revenda e banda diferenciada para biocombustíveis. Para a Raízen, que opera simultaneamente na produção agroindustrial de etanol e açúcar e na distribuição de combustíveis fósseis e renováveis, a reforma é ao mesmo tempo oportunidade — pela manutenção de um diferencial tributário estrutural em favor do etanol e pela isenção de Imposto Seletivo sobre biocombustíveis — e fonte de complexidade operacional e financeira, sobretudo no atual momento de reestruturação da companhia.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 sucesso da adaptação da Raízen a esse novo ambiente dependerá menos da compreensão dos princípios gerais da reforma — já amplamente difundidos — e mais da capacidade de acompanhar, influenciar e se antecipar às definições infralegais que, ano a ano até 2033, determinarão os parâmetros efetivos de alíquota, crédito e apuração aplicáveis a cada um de seus negócios.</w:t>
      </w:r>
    </w:p>
    <w:p>
      <w:pPr>
        <w:pStyle w:val="Heading1"/>
        <w:pBdr>
          <w:bottom w:val="single" w:color="1F3B57" w:sz="6" w:space="4"/>
        </w:pBdr>
        <w:spacing w:after="240" w:before="480"/>
      </w:pPr>
      <w:r>
        <w:rPr>
          <w:rFonts w:ascii="Calibri" w:cs="Calibri" w:eastAsia="Calibri" w:hAnsi="Calibri"/>
          <w:b/>
          <w:bCs/>
          <w:color w:val="1F3B57"/>
          <w:sz w:val="30"/>
          <w:szCs w:val="30"/>
        </w:rPr>
        <w:t xml:space="preserve">Referências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Emenda Constitucional nº 132, de 20 de dezembro de 2023. Altera o Sistema Tributário Nacional. Diário Oficial da União, Brasília, DF, 2023.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Lei Complementar nº 214, de 16 de janeiro de 2025. Institui o Imposto sobre Bens e Serviços, a Contribuição Social sobre Bens e Serviços e o Imposto Seletivo. Diário Oficial da União, Brasília, DF, 2025. Disponível em: planalto.gov.br/ccivil_03/leis/lcp/lcp214.htm.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BRASIL. Decreto nº 12.955, de 2026. Regulamenta a Contribuição sobre Bens e Serviços (CBS).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COMITÊ GESTOR DO IBS (CGIBS). Resolução CGIBS nº 6/2026. Regulamenta o Imposto sobre Bens e Serviços (IBS).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CÂMARA DOS DEPUTADOS. Reforma tributária começa fase de transição com testes de novos impostos em 2026. Portal da Câmara dos Deputados, 2026.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RECEITA FEDERAL DO BRASIL. Orientações da Reforma Tributária para 2026.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MINISTÉRIO DA FAZENDA. Reforma Tributária — Regulamentação.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PWC BRASIL. Publicação da Lei Complementar nº 214/2025 — Reforma Tributária sobre o Consumo, 2025.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CENÁRIOS CONSULTORIA. Reforma Tributária e Combustíveis: A Tributação Monofásica na Lei Complementar 214/2025, 2025.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RAÍZEN S.A. Nossos Negócios: Etanol, Açúcar e Bioenergia. Disponível em: raizen.com.br.</w:t>
      </w:r>
    </w:p>
    <w:p>
      <w:pPr>
        <w:spacing w:after="200" w:line="3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RAÍZEN S.A. Plano Operacional e de Investimentos 2025/26. Divulgação de resultados, 2025.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rFonts w:ascii="Calibri" w:cs="Calibri" w:eastAsia="Calibri" w:hAnsi="Calibri"/>
        <w:i/>
        <w:iCs/>
        <w:color w:val="595959"/>
        <w:sz w:val="16"/>
        <w:szCs w:val="16"/>
      </w:rPr>
      <w:t xml:space="preserve">Reforma Tributária e o Setor de Combustíveis e Bioenergia — Estudo aplicado à Raízen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2026-07-27T21:14:25.795Z</dcterms:created>
  <dcterms:modified xsi:type="dcterms:W3CDTF">2026-07-27T21:14:25.795Z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