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A92" w:rsidRPr="00986A92" w:rsidRDefault="00986A92" w:rsidP="00986A92">
      <w:pPr>
        <w:spacing w:after="0" w:line="960" w:lineRule="atLeast"/>
        <w:outlineLvl w:val="0"/>
        <w:rPr>
          <w:rFonts w:ascii="Arial" w:eastAsia="Times New Roman" w:hAnsi="Arial" w:cs="Arial"/>
          <w:b/>
          <w:color w:val="000000"/>
          <w:kern w:val="36"/>
          <w:sz w:val="56"/>
          <w:szCs w:val="83"/>
          <w:lang w:eastAsia="es-PE"/>
        </w:rPr>
      </w:pPr>
      <w:r w:rsidRPr="00986A92">
        <w:rPr>
          <w:rFonts w:ascii="Arial" w:eastAsia="Times New Roman" w:hAnsi="Arial" w:cs="Arial"/>
          <w:b/>
          <w:color w:val="000000"/>
          <w:kern w:val="36"/>
          <w:sz w:val="56"/>
          <w:szCs w:val="83"/>
          <w:lang w:eastAsia="es-PE"/>
        </w:rPr>
        <w:t>La contaminación del aire podría costar a la economía mundial $ 2.6 billones de dólares al año</w:t>
      </w:r>
    </w:p>
    <w:p w:rsidR="00DA53BE" w:rsidRDefault="00DA53BE"/>
    <w:p w:rsidR="00986A92" w:rsidRDefault="00986A92" w:rsidP="00986A92">
      <w:pPr>
        <w:pStyle w:val="Ttulo2"/>
        <w:spacing w:before="0" w:after="0" w:line="570" w:lineRule="atLeast"/>
        <w:jc w:val="left"/>
        <w:rPr>
          <w:rFonts w:ascii="Arial" w:hAnsi="Arial" w:cs="Arial"/>
          <w:b/>
          <w:bCs/>
          <w:color w:val="262626"/>
          <w:szCs w:val="39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anchor distT="0" distB="0" distL="114300" distR="114300" simplePos="0" relativeHeight="251658240" behindDoc="1" locked="0" layoutInCell="1" allowOverlap="1" wp14:anchorId="275EB4BF" wp14:editId="7748C6F8">
            <wp:simplePos x="0" y="0"/>
            <wp:positionH relativeFrom="margin">
              <wp:posOffset>-770</wp:posOffset>
            </wp:positionH>
            <wp:positionV relativeFrom="paragraph">
              <wp:posOffset>1502788</wp:posOffset>
            </wp:positionV>
            <wp:extent cx="5454650" cy="3316605"/>
            <wp:effectExtent l="0" t="0" r="0" b="0"/>
            <wp:wrapTight wrapText="bothSides">
              <wp:wrapPolygon edited="0">
                <wp:start x="0" y="0"/>
                <wp:lineTo x="0" y="21464"/>
                <wp:lineTo x="21499" y="21464"/>
                <wp:lineTo x="2149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C76E2.t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9" t="26992" r="33889" b="9378"/>
                    <a:stretch/>
                  </pic:blipFill>
                  <pic:spPr bwMode="auto">
                    <a:xfrm>
                      <a:off x="0" y="0"/>
                      <a:ext cx="5454650" cy="33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7C6">
        <w:rPr>
          <w:rFonts w:ascii="Arial" w:hAnsi="Arial" w:cs="Arial"/>
          <w:b/>
          <w:bCs/>
          <w:color w:val="262626"/>
          <w:szCs w:val="39"/>
        </w:rPr>
        <w:t>Las emanaciones tóxicas no son sólo malas</w:t>
      </w:r>
      <w:bookmarkStart w:id="0" w:name="_GoBack"/>
      <w:bookmarkEnd w:id="0"/>
      <w:r w:rsidRPr="00986A92">
        <w:rPr>
          <w:rFonts w:ascii="Arial" w:hAnsi="Arial" w:cs="Arial"/>
          <w:b/>
          <w:bCs/>
          <w:color w:val="262626"/>
          <w:szCs w:val="39"/>
        </w:rPr>
        <w:t xml:space="preserve"> para los pulmones humanos y el medio ambiente, también es terrible para la economía mundial, según un nuevo informe.</w:t>
      </w:r>
    </w:p>
    <w:p w:rsidR="00986A92" w:rsidRPr="00986A92" w:rsidRDefault="00986A92" w:rsidP="00986A92"/>
    <w:p w:rsidR="00986A92" w:rsidRDefault="00986A92" w:rsidP="00986A92">
      <w:pPr>
        <w:pStyle w:val="NormalWeb"/>
        <w:spacing w:before="0" w:beforeAutospacing="0" w:after="0" w:afterAutospacing="0" w:line="405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La contaminación del aire podría costar</w:t>
      </w:r>
      <w:r>
        <w:rPr>
          <w:rFonts w:ascii="Arial" w:hAnsi="Arial" w:cs="Arial"/>
          <w:color w:val="000000"/>
          <w:sz w:val="27"/>
          <w:szCs w:val="27"/>
        </w:rPr>
        <w:t>le al mundo la cifra</w:t>
      </w:r>
      <w:r>
        <w:rPr>
          <w:rFonts w:ascii="Arial" w:hAnsi="Arial" w:cs="Arial"/>
          <w:color w:val="000000"/>
          <w:sz w:val="27"/>
          <w:szCs w:val="27"/>
        </w:rPr>
        <w:t xml:space="preserve"> de $ 2.6 billones de dólares al año, o el 1% del PIB mundial, para el año 2060, según el estudio realizado por la Organización para la Cooperación y </w:t>
      </w:r>
      <w:r>
        <w:rPr>
          <w:rFonts w:ascii="Arial" w:hAnsi="Arial" w:cs="Arial"/>
          <w:color w:val="000000"/>
          <w:sz w:val="27"/>
          <w:szCs w:val="27"/>
        </w:rPr>
        <w:lastRenderedPageBreak/>
        <w:t>el Desarrollo Económico.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Los costes son el resultado de los días de enfermedad, gastos médicos y la reducción de la producción agrícola.</w:t>
      </w:r>
    </w:p>
    <w:p w:rsidR="00986A92" w:rsidRDefault="00986A92" w:rsidP="00986A92">
      <w:pPr>
        <w:pStyle w:val="NormalWeb"/>
        <w:spacing w:before="0" w:beforeAutospacing="0" w:after="0" w:afterAutospacing="0" w:line="405" w:lineRule="atLeast"/>
        <w:rPr>
          <w:rFonts w:ascii="Arial" w:hAnsi="Arial" w:cs="Arial"/>
          <w:color w:val="000000"/>
          <w:sz w:val="27"/>
          <w:szCs w:val="27"/>
        </w:rPr>
      </w:pPr>
      <w:r w:rsidRPr="00986A92">
        <w:rPr>
          <w:rFonts w:ascii="Arial" w:hAnsi="Arial" w:cs="Arial"/>
          <w:color w:val="000000"/>
          <w:sz w:val="27"/>
          <w:szCs w:val="27"/>
          <w:highlight w:val="lightGray"/>
          <w:shd w:val="clear" w:color="auto" w:fill="C9D7F1"/>
        </w:rPr>
        <w:t>Países como China, Rusia y la India, que ya están luchando con una grave contaminación, se espera que sean especialmente afectada.</w:t>
      </w:r>
    </w:p>
    <w:p w:rsidR="00986A92" w:rsidRDefault="00986A92"/>
    <w:p w:rsidR="00986A92" w:rsidRDefault="00986A92" w:rsidP="00986A92">
      <w:pPr>
        <w:pStyle w:val="NormalWeb"/>
        <w:spacing w:before="0" w:beforeAutospacing="0" w:after="0" w:afterAutospacing="0" w:line="405" w:lineRule="atLeast"/>
        <w:rPr>
          <w:rFonts w:ascii="Arial" w:hAnsi="Arial" w:cs="Arial"/>
          <w:color w:val="000000"/>
          <w:sz w:val="27"/>
          <w:szCs w:val="27"/>
        </w:rPr>
      </w:pPr>
      <w:r w:rsidRPr="00986A92">
        <w:rPr>
          <w:rFonts w:ascii="Arial" w:hAnsi="Arial" w:cs="Arial"/>
          <w:color w:val="000000"/>
          <w:sz w:val="27"/>
          <w:szCs w:val="27"/>
        </w:rPr>
        <w:t>La contaminación también podría conducir a un máximo de 9 millones de muer</w:t>
      </w:r>
      <w:r>
        <w:rPr>
          <w:rFonts w:ascii="Arial" w:hAnsi="Arial" w:cs="Arial"/>
          <w:color w:val="000000"/>
          <w:sz w:val="27"/>
          <w:szCs w:val="27"/>
        </w:rPr>
        <w:t>tes prematuras en 2060. costos de bienestar asociados a estas consecuencias mortales se prevé que aumente a lo más $ 25 billones de dólares durante el mismo período.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La cantidad asociada con el pago por el dolor y el</w:t>
      </w:r>
      <w:r>
        <w:rPr>
          <w:rFonts w:ascii="Arial" w:hAnsi="Arial" w:cs="Arial"/>
          <w:color w:val="000000"/>
          <w:sz w:val="27"/>
          <w:szCs w:val="27"/>
        </w:rPr>
        <w:t xml:space="preserve"> sufrimiento de la enfermedad </w:t>
      </w:r>
      <w:r>
        <w:rPr>
          <w:rFonts w:ascii="Arial" w:hAnsi="Arial" w:cs="Arial"/>
          <w:color w:val="000000"/>
          <w:sz w:val="27"/>
          <w:szCs w:val="27"/>
        </w:rPr>
        <w:t>por ejemp</w:t>
      </w:r>
      <w:r>
        <w:rPr>
          <w:rFonts w:ascii="Arial" w:hAnsi="Arial" w:cs="Arial"/>
          <w:color w:val="000000"/>
          <w:sz w:val="27"/>
          <w:szCs w:val="27"/>
        </w:rPr>
        <w:t xml:space="preserve">lo, los ingresos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 xml:space="preserve">hospitalarios </w:t>
      </w:r>
      <w:r>
        <w:rPr>
          <w:rFonts w:ascii="Arial" w:hAnsi="Arial" w:cs="Arial"/>
          <w:color w:val="000000"/>
          <w:sz w:val="27"/>
          <w:szCs w:val="27"/>
        </w:rPr>
        <w:t xml:space="preserve"> se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estima que llegará a $ 2.2 billones de dólares.</w:t>
      </w:r>
    </w:p>
    <w:p w:rsidR="00986A92" w:rsidRDefault="00986A92" w:rsidP="00986A92">
      <w:pPr>
        <w:pStyle w:val="NormalWeb"/>
        <w:spacing w:before="0" w:beforeAutospacing="0" w:after="0" w:afterAutospacing="0" w:line="405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394A4E6D" wp14:editId="72AF8FA0">
            <wp:simplePos x="0" y="0"/>
            <wp:positionH relativeFrom="margin">
              <wp:align>right</wp:align>
            </wp:positionH>
            <wp:positionV relativeFrom="paragraph">
              <wp:posOffset>1713838</wp:posOffset>
            </wp:positionV>
            <wp:extent cx="5328920" cy="2985770"/>
            <wp:effectExtent l="0" t="0" r="5080" b="5080"/>
            <wp:wrapTight wrapText="bothSides">
              <wp:wrapPolygon edited="0">
                <wp:start x="0" y="0"/>
                <wp:lineTo x="0" y="21499"/>
                <wp:lineTo x="21543" y="21499"/>
                <wp:lineTo x="2154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7C56C.tmp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9" t="26323" r="33889" b="15041"/>
                    <a:stretch/>
                  </pic:blipFill>
                  <pic:spPr bwMode="auto">
                    <a:xfrm>
                      <a:off x="0" y="0"/>
                      <a:ext cx="5328920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27"/>
          <w:szCs w:val="27"/>
        </w:rPr>
        <w:t>"Las posibles consecuencias económicas de los impactos tanto en el mercado y no de mercado de la contaminación del aire exterior son muy significativa", según el informe, la recomendación de políticas para reducir las emisiones contaminantes.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Se dijo que se centró en los efectos de la contaminación al aire libre específicamente porque se espera que empeore en las próximas décadas.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</w:p>
    <w:p w:rsidR="00986A92" w:rsidRDefault="00986A92" w:rsidP="00986A92">
      <w:pPr>
        <w:pStyle w:val="NormalWeb"/>
        <w:spacing w:before="0" w:beforeAutospacing="0" w:after="0" w:afterAutospacing="0" w:line="405" w:lineRule="atLeast"/>
        <w:rPr>
          <w:rFonts w:ascii="Arial" w:hAnsi="Arial" w:cs="Arial"/>
          <w:color w:val="000000"/>
          <w:sz w:val="27"/>
          <w:szCs w:val="27"/>
        </w:rPr>
      </w:pPr>
    </w:p>
    <w:p w:rsidR="00986A92" w:rsidRDefault="00986A92" w:rsidP="00986A92">
      <w:pPr>
        <w:pStyle w:val="NormalWeb"/>
        <w:spacing w:before="0" w:beforeAutospacing="0" w:after="0" w:afterAutospacing="0" w:line="405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El mayor número de muertes prematuras relacionadas están en China e India, que están entre los países más contaminados del mundo.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 xml:space="preserve">En </w:t>
      </w:r>
      <w:r>
        <w:rPr>
          <w:rFonts w:ascii="Arial" w:hAnsi="Arial" w:cs="Arial"/>
          <w:color w:val="000000"/>
          <w:sz w:val="27"/>
          <w:szCs w:val="27"/>
        </w:rPr>
        <w:lastRenderedPageBreak/>
        <w:t>diciembre pasado, funcionarios de la ciudad de Beijing emitió su advertencia más alta contaminación por primera vez, un movimiento que paralizó la ciudad y las empresas locales daño.</w:t>
      </w:r>
    </w:p>
    <w:p w:rsidR="00986A92" w:rsidRDefault="00986A92" w:rsidP="00986A92">
      <w:pPr>
        <w:pStyle w:val="NormalWeb"/>
        <w:spacing w:before="0" w:beforeAutospacing="0" w:after="0" w:afterAutospacing="0" w:line="405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El informe de la OCDE exige específicas, las políticas locales para tratar de abordar el </w:t>
      </w:r>
      <w:r>
        <w:rPr>
          <w:rFonts w:ascii="Arial" w:hAnsi="Arial" w:cs="Arial"/>
          <w:color w:val="000000"/>
          <w:sz w:val="27"/>
          <w:szCs w:val="27"/>
        </w:rPr>
        <w:t>problema. “No hay una talla única para toda</w:t>
      </w:r>
      <w:r>
        <w:rPr>
          <w:rFonts w:ascii="Arial" w:hAnsi="Arial" w:cs="Arial"/>
          <w:color w:val="000000"/>
          <w:sz w:val="27"/>
          <w:szCs w:val="27"/>
        </w:rPr>
        <w:t xml:space="preserve">s </w:t>
      </w:r>
      <w:r>
        <w:rPr>
          <w:rFonts w:ascii="Arial" w:hAnsi="Arial" w:cs="Arial"/>
          <w:color w:val="000000"/>
          <w:sz w:val="27"/>
          <w:szCs w:val="27"/>
        </w:rPr>
        <w:t xml:space="preserve">las </w:t>
      </w:r>
      <w:r>
        <w:rPr>
          <w:rFonts w:ascii="Arial" w:hAnsi="Arial" w:cs="Arial"/>
          <w:color w:val="000000"/>
          <w:sz w:val="27"/>
          <w:szCs w:val="27"/>
        </w:rPr>
        <w:t>receta</w:t>
      </w:r>
      <w:r>
        <w:rPr>
          <w:rFonts w:ascii="Arial" w:hAnsi="Arial" w:cs="Arial"/>
          <w:color w:val="000000"/>
          <w:sz w:val="27"/>
          <w:szCs w:val="27"/>
        </w:rPr>
        <w:t>s</w:t>
      </w:r>
      <w:r>
        <w:rPr>
          <w:rFonts w:ascii="Arial" w:hAnsi="Arial" w:cs="Arial"/>
          <w:color w:val="000000"/>
          <w:sz w:val="27"/>
          <w:szCs w:val="27"/>
        </w:rPr>
        <w:t xml:space="preserve"> para reducir el impacto de la contaminación del aire, ya que hay grandes diferencias entre los países en términos de contaminantes predominantes y las fuentes", indicó.</w:t>
      </w:r>
    </w:p>
    <w:p w:rsidR="00986A92" w:rsidRDefault="00986A92" w:rsidP="00986A92">
      <w:pPr>
        <w:pStyle w:val="NormalWeb"/>
        <w:spacing w:before="0" w:beforeAutospacing="0" w:after="0" w:afterAutospacing="0" w:line="405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Las políticas que sugiere incluyen incentivos para tecnologías más limpias, y normas más estrictas para la calidad del aire, las emisiones de automóviles y los estándares de calidad del combustible.</w:t>
      </w:r>
    </w:p>
    <w:p w:rsidR="00986A92" w:rsidRDefault="00986A92"/>
    <w:sectPr w:rsidR="00986A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A92"/>
    <w:rsid w:val="007747C6"/>
    <w:rsid w:val="00986A92"/>
    <w:rsid w:val="00DA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696C5"/>
  <w15:chartTrackingRefBased/>
  <w15:docId w15:val="{D9A741C3-D8C3-46FA-B3E4-82E15FAF9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PE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A92"/>
  </w:style>
  <w:style w:type="paragraph" w:styleId="Ttulo1">
    <w:name w:val="heading 1"/>
    <w:basedOn w:val="Normal"/>
    <w:next w:val="Normal"/>
    <w:link w:val="Ttulo1Car"/>
    <w:uiPriority w:val="9"/>
    <w:qFormat/>
    <w:rsid w:val="00986A9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6A92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6A92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6A9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6A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6A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6A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6A9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6A9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6A9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6A92"/>
    <w:rPr>
      <w:rFonts w:asciiTheme="majorHAnsi" w:eastAsiaTheme="majorEastAsia" w:hAnsiTheme="majorHAnsi" w:cstheme="majorBidi"/>
      <w:sz w:val="32"/>
      <w:szCs w:val="32"/>
    </w:rPr>
  </w:style>
  <w:style w:type="paragraph" w:styleId="NormalWeb">
    <w:name w:val="Normal (Web)"/>
    <w:basedOn w:val="Normal"/>
    <w:uiPriority w:val="99"/>
    <w:unhideWhenUsed/>
    <w:rsid w:val="00986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986A92"/>
  </w:style>
  <w:style w:type="character" w:customStyle="1" w:styleId="instoryheading">
    <w:name w:val="instoryheading"/>
    <w:basedOn w:val="Fuentedeprrafopredeter"/>
    <w:rsid w:val="00986A92"/>
  </w:style>
  <w:style w:type="character" w:customStyle="1" w:styleId="Ttulo3Car">
    <w:name w:val="Título 3 Car"/>
    <w:basedOn w:val="Fuentedeprrafopredeter"/>
    <w:link w:val="Ttulo3"/>
    <w:uiPriority w:val="9"/>
    <w:semiHidden/>
    <w:rsid w:val="00986A92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6A9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6A92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6A9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6A92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6A9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6A92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86A9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86A9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86A9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86A92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6A92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86A92"/>
    <w:rPr>
      <w:b/>
      <w:bCs/>
    </w:rPr>
  </w:style>
  <w:style w:type="character" w:styleId="nfasis">
    <w:name w:val="Emphasis"/>
    <w:basedOn w:val="Fuentedeprrafopredeter"/>
    <w:uiPriority w:val="20"/>
    <w:qFormat/>
    <w:rsid w:val="00986A92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86A9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86A92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86A92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6A9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6A92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86A92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86A92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86A9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86A92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86A92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86A9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16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363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AMD</dc:creator>
  <cp:keywords/>
  <dc:description/>
  <cp:lastModifiedBy>AMD</cp:lastModifiedBy>
  <cp:revision>1</cp:revision>
  <dcterms:created xsi:type="dcterms:W3CDTF">2016-07-06T02:03:00Z</dcterms:created>
  <dcterms:modified xsi:type="dcterms:W3CDTF">2016-07-06T02:14:00Z</dcterms:modified>
</cp:coreProperties>
</file>