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fals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we describe how we dealt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pPr>
      <w:r>
        <w:rPr>
          <w:rFonts w:cs="Times New Roman" w:ascii="Times New Roman" w:hAnsi="Times New Roman"/>
          <w:sz w:val="22"/>
          <w:szCs w:val="22"/>
        </w:rPr>
        <w:t>How should conjunction be interpreted?</w:t>
      </w:r>
    </w:p>
    <w:p>
      <w:pPr>
        <w:pStyle w:val="TextBody"/>
        <w:tabs>
          <w:tab w:val="left" w:pos="0" w:leader="none"/>
        </w:tabs>
        <w:spacing w:before="0" w:after="0"/>
        <w:jc w:val="both"/>
        <w:rPr>
          <w:color w:val="FF00CC"/>
        </w:rPr>
      </w:pPr>
      <w:r>
        <w:rPr>
          <w:rFonts w:cs="Times New Roman" w:ascii="Times New Roman" w:hAnsi="Times New Roman"/>
          <w:color w:val="0000FF"/>
          <w:sz w:val="22"/>
          <w:szCs w:val="22"/>
          <w:lang w:val="en-GB" w:bidi="ar-SA"/>
        </w:rPr>
        <w:t>P \/ Q is the conjunction, intuitively it combines the products of both subterms P and Q by accumulating the features. There is an example (Example 2) in the paper to illustrate this.</w:t>
      </w:r>
    </w:p>
    <w:p>
      <w:pPr>
        <w:pStyle w:val="TextBody"/>
        <w:tabs>
          <w:tab w:val="left" w:pos="0" w:leader="none"/>
        </w:tabs>
        <w:spacing w:before="0" w:after="0"/>
        <w:jc w:val="both"/>
        <w:rPr>
          <w:rFonts w:ascii="Times New Roman" w:hAnsi="Times New Roman" w:cs="Times New Roman"/>
          <w:color w:val="FF3333"/>
          <w:sz w:val="22"/>
          <w:szCs w:val="22"/>
          <w:lang w:val="en-GB" w:bidi="ar-SA"/>
        </w:rPr>
      </w:pPr>
      <w:r>
        <w:rPr>
          <w:rFonts w:cs="Times New Roman" w:ascii="Times New Roman" w:hAnsi="Times New Roman"/>
          <w:color w:val="FF3333"/>
          <w:sz w:val="22"/>
          <w:szCs w:val="22"/>
          <w:lang w:val="en-GB" w:bidi="ar-SA"/>
        </w:rPr>
      </w:r>
    </w:p>
    <w:p>
      <w:pPr>
        <w:pStyle w:val="TextBody"/>
        <w:numPr>
          <w:ilvl w:val="0"/>
          <w:numId w:val="3"/>
        </w:numPr>
        <w:tabs>
          <w:tab w:val="left" w:pos="0" w:leader="none"/>
        </w:tabs>
        <w:jc w:val="both"/>
        <w:rPr/>
      </w:pPr>
      <w:r>
        <w:rPr>
          <w:rFonts w:cs="Times New Roman" w:ascii="Times New Roman" w:hAnsi="Times New Roman"/>
          <w:sz w:val="22"/>
          <w:szCs w:val="22"/>
        </w:rPr>
        <w:t xml:space="preserve">The operator 'P1 choose-one_p P2' allows choosing probabilistically among </w:t>
      </w:r>
      <w:r>
        <w:rPr>
          <w:rFonts w:cs="Times New Roman" w:ascii="Times New Roman" w:hAnsi="Times New Roman"/>
          <w:color w:val="00000A"/>
          <w:sz w:val="22"/>
          <w:szCs w:val="22"/>
        </w:rPr>
        <w:t>the</w:t>
      </w:r>
      <w:r>
        <w:rPr>
          <w:rFonts w:cs="Times New Roman" w:ascii="Times New Roman" w:hAnsi="Times New Roman"/>
          <w:sz w:val="22"/>
          <w:szCs w:val="22"/>
        </w:rPr>
        <w:t xml:space="preserv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have added more comments after Definition 1 and Examples 1 and 2 and 3 to explain the syntax. 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The hide operator is important for implementation. It maybe not feasible to compute all the SPL, it may be fasible to compute the probabilty of a particular feature. It is achieved by hiding sets of features, that is, those “hidden” features do not affect the processing of the probability of a feature X for being part of a valid product.  We mention this in the new version of the Introduction.</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pPr>
      <w:r>
        <w:rPr>
          <w:rFonts w:cs="Times New Roman" w:ascii="Times New Roman" w:hAnsi="Times New Roman"/>
          <w:color w:val="0000FF"/>
          <w:sz w:val="22"/>
          <w:szCs w:val="22"/>
          <w:lang w:val="en-GB" w:bidi="ar-SA"/>
        </w:rPr>
        <w:t xml:space="preserve">The hide operator is not a usual one in SPLs. So, we believe that a dedicated section is adequate in order to present the hiding operator.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pPr>
      <w:r>
        <w:rPr>
          <w:rFonts w:cs="Times New Roman" w:ascii="Times New Roman" w:hAnsi="Times New Roman"/>
          <w:sz w:val="22"/>
          <w:szCs w:val="22"/>
        </w:rPr>
        <w:t>the probability of having a mandatory feature is 0.2,The proof of the following result is an immediate consequence of Lemmas~\ref{lem:pref}--\ref{lem:excl} (see Appendix~\ref{app:proofs} of the paper)</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This is a good point. </w:t>
      </w:r>
      <w:bookmarkStart w:id="0" w:name="__DdeLink__1222_1378409814"/>
      <w:r>
        <w:rPr>
          <w:rFonts w:cs="Times New Roman" w:ascii="Times New Roman" w:hAnsi="Times New Roman"/>
          <w:color w:val="0000FF"/>
          <w:sz w:val="22"/>
          <w:szCs w:val="22"/>
          <w:lang w:val="en-GB" w:bidi="ar-SA"/>
        </w:rPr>
        <w:t>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Normal"/>
        <w:widowControl w:val="false"/>
        <w:overflowPunct w:val="false"/>
        <w:spacing w:lineRule="atLeast" w:line="300" w:before="0" w:after="240"/>
        <w:jc w:val="both"/>
        <w:rPr/>
      </w:pPr>
      <w:bookmarkEnd w:id="0"/>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We put the proofs in the appendix just for the sake of readability and we expect appendices to be published as well.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featurThe proof of the following result is an immediate consequence of Lemmas~\ref{lem:pref}--\ref{lem:excl} (see Appendix~\ref{app:proofs} of the paper)es).'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 xml:space="preserve">These values give degenerate terms that are covered by other operators. We do not consider probability 0 in the optional feature because it would be </w:t>
      </w:r>
      <w:bookmarkStart w:id="1" w:name="__DdeLink__174_852427910"/>
      <w:r>
        <w:rPr>
          <w:rFonts w:cs="Times New Roman" w:ascii="Times New Roman" w:hAnsi="Times New Roman"/>
          <w:color w:val="0000FF"/>
          <w:sz w:val="22"/>
          <w:szCs w:val="22"/>
          <w:lang w:val="en-GB" w:bidi="ar-SA"/>
        </w:rPr>
        <w:t>equivalent to</w:t>
      </w:r>
      <w:bookmarkEnd w:id="1"/>
      <w:r>
        <w:rPr>
          <w:rFonts w:cs="Times New Roman" w:ascii="Times New Roman" w:hAnsi="Times New Roman"/>
          <w:color w:val="0000FF"/>
          <w:sz w:val="22"/>
          <w:szCs w:val="22"/>
          <w:lang w:val="en-GB" w:bidi="ar-SA"/>
        </w:rPr>
        <w:t xml:space="preserve"> nil. We do not consider probability 1 in this operator because it would be equivalent to the ordinary prefix operator. It is true that we could have merged both operators, but we have preferred to follow the tradition of having both kind of features: mandatory and optional. In the case of the choice operator, these values would give degenerated terms in which one of the sub-terms </w:t>
      </w:r>
      <w:r>
        <w:rPr>
          <w:rFonts w:cs="Times New Roman" w:ascii="Times New Roman" w:hAnsi="Times New Roman"/>
          <w:color w:val="FF0000"/>
          <w:sz w:val="22"/>
          <w:szCs w:val="22"/>
          <w:lang w:val="en-GB" w:bidi="ar-SA"/>
        </w:rPr>
        <w:t xml:space="preserve">is </w:t>
      </w:r>
      <w:r>
        <w:rPr>
          <w:rFonts w:cs="Times New Roman" w:ascii="Times New Roman" w:hAnsi="Times New Roman"/>
          <w:color w:val="0000FF"/>
          <w:sz w:val="22"/>
          <w:szCs w:val="22"/>
          <w:lang w:val="en-GB" w:bidi="ar-SA"/>
        </w:rPr>
        <w:t>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r>
        <w:rPr>
          <w:rFonts w:cs="Times New Roman" w:ascii="Times New Roman" w:hAnsi="Times New Roman"/>
          <w:sz w:val="22"/>
          <w:szCs w:val="22"/>
        </w:rPr>
        <w:b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transition system obtained with term operational semantics is “observed”, similarly as for classical trace (and not bisimulation) equivalence, only for the sets of features. The proof of the following result is an immediate consequence of Lemmas 3-12 (see Appendix A of the paper) select (each set being the labels of the transitions of a trace, thus abstracting also from trace label ordering) and the probabilities associated to them. For this reason, the conjunction operator is indeed associative: technically associativity is an immediate consequence of Proposition 3 and Definition 6 (an item about conjunction in both of them). We have rewritten the proof of Proposition 3 (including the case of conjunction, Lemma 8) more in detail trying to make it clearer. We also have included the example indicated by the reviewer in the paper. The 1/2 that is used in the operational semantics of /\ to assign probabilities to lefthand and righthand branches is not critical: as a matter of fact we could have chosen any other distribution factor p in one branch and 1-p in the other branch (anyway both the features on the left and on the right of /\ will have to be selected in the end). The choice of 1/2 w.r.t. any other p (with 0&lt;p&lt;1) just has the advantage that it makes, at least, commutativity of /\ obvious. In the example that the reviewer comments, the only product (set of features) of t2=(A;tick /\ B;tick) /\ C;tick is [A, B, C] with probability 1, that coincides with the set of probabilistic products obtained for  t1=A;tick /\ (B;tick /\ C;tick). Additionally, we have put some examples of the operational semantics of terms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the presence or not of such a feature, and corresponds to the frequency with which such a feature is selected) and in the choice operator (probability here determines whether the lefthand or righthand features are selected, and corresponds to the frequency with which the corresponding selection is made).</w:t>
      </w:r>
    </w:p>
    <w:p>
      <w:pPr>
        <w:pStyle w:val="TextBody"/>
        <w:spacing w:before="0" w:after="0"/>
        <w:jc w:val="both"/>
        <w:rPr>
          <w:rFonts w:ascii="Times New Roman" w:hAnsi="Times New Roman" w:cs="Times New Roman"/>
          <w:color w:val="FF0000"/>
          <w:sz w:val="22"/>
          <w:szCs w:val="22"/>
          <w:lang w:val="en-GB" w:bidi="ar-SA"/>
        </w:rPr>
      </w:pPr>
      <w:r>
        <w:rPr>
          <w:rFonts w:cs="Times New Roman" w:ascii="Times New Roman" w:hAnsi="Times New Roman"/>
          <w:color w:val="FF0000"/>
          <w:sz w:val="22"/>
          <w:szCs w:val="22"/>
          <w:lang w:val="en-GB" w:bidi="ar-SA"/>
        </w:rPr>
      </w:r>
    </w:p>
    <w:p>
      <w:pPr>
        <w:pStyle w:val="TextBody"/>
        <w:spacing w:before="0" w:after="0"/>
        <w:jc w:val="both"/>
        <w:rPr>
          <w:rFonts w:ascii="Times New Roman" w:hAnsi="Times New Roman" w:cs="Times New Roman"/>
          <w:sz w:val="22"/>
          <w:szCs w:val="22"/>
          <w:lang w:val="en-GB"/>
        </w:rPr>
      </w:pPr>
      <w:r>
        <w:rPr>
          <w:rFonts w:cs="Times New Roman" w:ascii="Times New Roman" w:hAnsi="Times New Roman"/>
          <w:sz w:val="22"/>
          <w:szCs w:val="22"/>
          <w:lang w:val="en-GB"/>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color w:val="0000FF"/>
        </w:rPr>
      </w:pPr>
      <w:r>
        <w:rPr>
          <w:rFonts w:cs="Times New Roman" w:ascii="Times New Roman" w:hAnsi="Times New Roman"/>
          <w:color w:val="0000FF"/>
          <w:sz w:val="22"/>
          <w:szCs w:val="22"/>
          <w:lang w:val="en-GB" w:bidi="ar-SA"/>
        </w:rPr>
        <w:t xml:space="preserve">In the new version of the paper, we have added a new section (Section 2) with an extended the related work as requested. </w:t>
      </w:r>
      <w:r>
        <w:rPr>
          <w:rFonts w:cs="Times New Roman" w:ascii="Times New Roman" w:hAnsi="Times New Roman"/>
          <w:color w:val="0000FF"/>
          <w:sz w:val="22"/>
          <w:szCs w:val="22"/>
          <w:lang w:val="en-GB" w:bidi="ar-SA"/>
        </w:rPr>
        <w:t>Specifically related to  the reference [19]</w:t>
      </w:r>
      <w:r>
        <w:rPr>
          <w:rFonts w:cs="Times New Roman" w:ascii="Times New Roman" w:hAnsi="Times New Roman"/>
          <w:color w:val="0000FF"/>
          <w:sz w:val="22"/>
          <w:szCs w:val="22"/>
          <w:lang w:val="en-GB" w:bidi="ar-SA"/>
        </w:rPr>
        <w:t xml:space="preserve"> </w:t>
      </w:r>
      <w:r>
        <w:rPr>
          <w:rFonts w:cs="Times New Roman" w:ascii="Times New Roman" w:hAnsi="Times New Roman"/>
          <w:color w:val="0000FF"/>
          <w:sz w:val="22"/>
          <w:szCs w:val="22"/>
          <w:lang w:val="en-GB" w:bidi="ar-SA"/>
        </w:rPr>
        <w:t>one of the</w:t>
      </w:r>
      <w:r>
        <w:rPr>
          <w:rFonts w:cs="Times New Roman" w:ascii="Times New Roman" w:hAnsi="Times New Roman"/>
          <w:color w:val="0000FF"/>
          <w:sz w:val="22"/>
          <w:szCs w:val="22"/>
          <w:lang w:val="en-GB" w:bidi="ar-SA"/>
        </w:rPr>
        <w:t xml:space="preserve"> interesting aspect</w:t>
      </w:r>
      <w:r>
        <w:rPr>
          <w:rFonts w:cs="Times New Roman" w:ascii="Times New Roman" w:hAnsi="Times New Roman"/>
          <w:color w:val="0000FF"/>
          <w:sz w:val="22"/>
          <w:szCs w:val="22"/>
          <w:lang w:val="en-GB" w:bidi="ar-SA"/>
        </w:rPr>
        <w:t xml:space="preserve">s presented in our probabilistic extension </w:t>
      </w:r>
      <w:r>
        <w:rPr>
          <w:rFonts w:cs="Times New Roman" w:ascii="Times New Roman" w:hAnsi="Times New Roman"/>
          <w:color w:val="0000FF"/>
          <w:sz w:val="22"/>
          <w:szCs w:val="22"/>
          <w:lang w:val="en-GB" w:bidi="ar-SA"/>
        </w:rPr>
        <w:t xml:space="preserve">is that any of the referenced research articles manage to describe in their </w:t>
      </w:r>
      <w:r>
        <w:rPr>
          <w:rFonts w:cs="Times New Roman" w:ascii="Times New Roman" w:hAnsi="Times New Roman"/>
          <w:color w:val="0000FF"/>
          <w:sz w:val="22"/>
          <w:szCs w:val="22"/>
          <w:lang w:val="en-GB" w:bidi="ar-SA"/>
        </w:rPr>
        <w:t>work</w:t>
      </w:r>
      <w:r>
        <w:rPr>
          <w:rFonts w:cs="Times New Roman" w:ascii="Times New Roman" w:hAnsi="Times New Roman"/>
          <w:color w:val="0000FF"/>
          <w:sz w:val="22"/>
          <w:szCs w:val="22"/>
          <w:lang w:val="en-GB" w:bidi="ar-SA"/>
        </w:rPr>
        <w:t xml:space="preserve"> the use of multisets. Also, they do not explicitly work on the translation of FO</w:t>
      </w:r>
      <w:r>
        <w:rPr>
          <w:rFonts w:cs="Times New Roman" w:ascii="Times New Roman" w:hAnsi="Times New Roman"/>
          <w:color w:val="0000FF"/>
          <w:sz w:val="22"/>
          <w:szCs w:val="22"/>
          <w:lang w:val="en-GB" w:bidi="ar-SA"/>
        </w:rPr>
        <w:t>D</w:t>
      </w:r>
      <w:r>
        <w:rPr>
          <w:rFonts w:cs="Times New Roman" w:ascii="Times New Roman" w:hAnsi="Times New Roman"/>
          <w:color w:val="0000FF"/>
          <w:sz w:val="22"/>
          <w:szCs w:val="22"/>
          <w:lang w:val="en-GB" w:bidi="ar-SA"/>
        </w:rPr>
        <w:t>A to represent probabilities and they do not introduce the notion of hiding those features not needed to calculate the probability of a specific feature.</w:t>
      </w:r>
    </w:p>
    <w:p>
      <w:pPr>
        <w:pStyle w:val="TextBody"/>
        <w:spacing w:before="0" w:after="0"/>
        <w:jc w:val="both"/>
        <w:rPr>
          <w:rFonts w:ascii="Times New Roman" w:hAnsi="Times New Roman" w:cs="Times New Roman"/>
          <w:color w:val="0000FF"/>
          <w:sz w:val="22"/>
          <w:szCs w:val="22"/>
        </w:rPr>
      </w:pPr>
      <w:r>
        <w:rPr>
          <w:rFonts w:cs="Times New Roman" w:ascii="Times New Roman" w:hAnsi="Times New Roman"/>
          <w:color w:val="0000FF"/>
          <w:sz w:val="22"/>
          <w:szCs w:val="22"/>
        </w:rPr>
        <w:t>[19]: Statistical prioritization for software product line testing: an experience report.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pPr>
      <w:r>
        <w:rPr>
          <w:rFonts w:cs="Times New Roman" w:ascii="Times New Roman" w:hAnsi="Times New Roman"/>
          <w:color w:val="0000FF"/>
          <w:sz w:val="22"/>
          <w:szCs w:val="22"/>
          <w:lang w:val="en-GB" w:bidi="ar-SA"/>
        </w:rPr>
        <w:t>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bookmarkStart w:id="2" w:name="_GoBack"/>
      <w:bookmarkEnd w:id="2"/>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the semantics. We have preferred to keep such a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3" w:name="__DdeLink__292_3634951779"/>
      <w:bookmarkEnd w:id="3"/>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forThe proof of the following result is an immediate consequence of Lemmas~\ref{lem:pref}--\ref{lem:excl} (see Appendix~\ref{app:proofs} of the paper)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We compare the process of calculating if a given feature is part of a final product using the implementation of the probabilistic extension and the implementation of the denotational semantic</w:t>
      </w:r>
      <w:r>
        <w:rPr>
          <w:rFonts w:cs="Times New Roman" w:ascii="Times New Roman" w:hAnsi="Times New Roman"/>
          <w:color w:val="FF0000"/>
          <w:sz w:val="22"/>
          <w:szCs w:val="22"/>
          <w:lang w:val="en-GB" w:bidi="ar-SA"/>
        </w:rPr>
        <w:t>s</w:t>
      </w:r>
      <w:r>
        <w:rPr>
          <w:rFonts w:cs="Times New Roman" w:ascii="Times New Roman" w:hAnsi="Times New Roman"/>
          <w:color w:val="0000FF"/>
          <w:sz w:val="22"/>
          <w:szCs w:val="22"/>
          <w:lang w:val="en-GB" w:bidi="ar-SA"/>
        </w:rPr>
        <w:t xml:space="preserve">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on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containing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with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color w:val="0000FF"/>
        </w:rPr>
      </w:pPr>
      <w:r>
        <w:rPr>
          <w:rFonts w:cs="Times New Roman" w:ascii="Times New Roman" w:hAnsi="Times New Roman"/>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color w:val="0000FF"/>
        </w:rPr>
      </w:pPr>
      <w:r>
        <w:rPr>
          <w:rFonts w:cs="Times New Roman" w:ascii="Times New Roman" w:hAnsi="Times New Roman"/>
          <w:color w:val="0000FF"/>
          <w:sz w:val="22"/>
          <w:szCs w:val="22"/>
        </w:rPr>
        <w:t>The package contains a README.txt files with each script description and some examples for executing them. They are all Python scripts.</w:t>
      </w:r>
    </w:p>
    <w:p>
      <w:pPr>
        <w:pStyle w:val="TextBody"/>
        <w:jc w:val="both"/>
        <w:rPr>
          <w:color w:val="0000FF"/>
        </w:rPr>
      </w:pPr>
      <w:r>
        <w:rPr>
          <w:rFonts w:cs="Times New Roman" w:ascii="Times New Roman" w:hAnsi="Times New Roman"/>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4" w:name="__DdeLink__254_462975853"/>
      <w:r>
        <w:rPr>
          <w:rFonts w:cs="Times New Roman" w:ascii="Times New Roman" w:hAnsi="Times New Roman"/>
          <w:color w:val="0000FF"/>
          <w:sz w:val="22"/>
          <w:szCs w:val="22"/>
          <w:lang w:val="en-GB" w:bidi="ar-SA"/>
        </w:rPr>
        <w:t xml:space="preserve">The new version of the paper </w:t>
      </w:r>
      <w:bookmarkEnd w:id="4"/>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pPr>
      <w:r>
        <w:rPr>
          <w:rFonts w:cs="Times New Roman" w:ascii="Times New Roman" w:hAnsi="Times New Roman"/>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color w:val="0000FF"/>
        </w:rPr>
      </w:pPr>
      <w:r>
        <w:rPr>
          <w:rFonts w:cs="Times New Roman" w:ascii="Times New Roman" w:hAnsi="Times New Roman"/>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color w:val="0000FF"/>
        </w:rPr>
      </w:pPr>
      <w:r>
        <w:rPr>
          <w:rFonts w:cs="Times New Roman" w:ascii="Times New Roman" w:hAnsi="Times New Roman"/>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name w:val="Heading 1"/>
    <w:basedOn w:val="Normal"/>
    <w:qFormat/>
    <w:pPr>
      <w:widowControl w:val="false"/>
      <w:numPr>
        <w:ilvl w:val="0"/>
        <w:numId w:val="1"/>
      </w:numPr>
      <w:outlineLvl w:val="0"/>
    </w:pPr>
    <w:rPr>
      <w:b/>
      <w:bCs/>
      <w:sz w:val="36"/>
      <w:szCs w:val="36"/>
    </w:rPr>
  </w:style>
  <w:style w:type="paragraph" w:styleId="Heading2">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name w:val="ListLabel 470"/>
    <w:qFormat/>
    <w:rPr>
      <w:rFonts w:ascii="Times New Roman" w:hAnsi="Times New Roman" w:cs="OpenSymbol"/>
      <w:sz w:val="22"/>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ascii="Times New Roman" w:hAnsi="Times New Roman" w:cs="OpenSymbol"/>
      <w:sz w:val="22"/>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Times New Roman" w:hAnsi="Times New Roman"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sz w:val="22"/>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ascii="Times New Roman" w:hAnsi="Times New Roman" w:cs="OpenSymbol"/>
      <w:sz w:val="22"/>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2"/>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 w:customStyle="1">
    <w:name w:val="Título"/>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Application>LibreOffice/5.4.6.2$Linux_X86_64 LibreOffice_project/40$Build-2</Application>
  <Pages>13</Pages>
  <Words>4980</Words>
  <Characters>26040</Characters>
  <CharactersWithSpaces>30906</CharactersWithSpaces>
  <Paragraphs>138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2018-11-29T13:59:57Z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