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tru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works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How should conjunction be interpreted?</w:t>
      </w:r>
    </w:p>
    <w:p>
      <w:pPr>
        <w:pStyle w:val="TextBody"/>
        <w:numPr>
          <w:ilvl w:val="0"/>
          <w:numId w:val="3"/>
        </w:numPr>
        <w:tabs>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0000FF"/>
          <w:sz w:val="22"/>
          <w:szCs w:val="22"/>
          <w:lang w:val="en-GB" w:bidi="ar-SA"/>
        </w:rPr>
        <w:t>We have added more comments and 2 examples to explain the syntax. We have removed the comments about the choice being n-ary. We could have defined n-ary, but we think the notation would have been more complex to follow.</w:t>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tabs>
          <w:tab w:val="left" w:pos="0" w:leader="none"/>
        </w:tabs>
        <w:spacing w:before="0" w:after="0"/>
        <w:jc w:val="both"/>
        <w:rPr/>
      </w:pPr>
      <w:r>
        <w:rPr>
          <w:rFonts w:cs="Times New Roman" w:ascii="Times New Roman" w:hAnsi="Times New Roman"/>
          <w:b/>
          <w:color w:val="00B050"/>
          <w:sz w:val="22"/>
          <w:szCs w:val="22"/>
        </w:rPr>
        <w:t>Creo que no hay que contestar nada, es lo que hemos hecho. Podemos decir, bien lo ha entendido….</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Normal"/>
        <w:widowControl w:val="false"/>
        <w:overflowPunct w:val="true"/>
        <w:spacing w:lineRule="atLeast" w:line="300" w:before="0" w:after="240"/>
        <w:jc w:val="both"/>
        <w:rPr>
          <w:rFonts w:ascii="Times New Roman" w:hAnsi="Times New Roman" w:cs="Times New Roman"/>
          <w:color w:val="ED1C24"/>
          <w:sz w:val="22"/>
          <w:szCs w:val="22"/>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w:t>
      </w:r>
      <w:r>
        <w:rPr>
          <w:rFonts w:cs="Times New Roman" w:ascii="Times New Roman" w:hAnsi="Times New Roman"/>
          <w:color w:val="0000FF"/>
          <w:sz w:val="22"/>
          <w:szCs w:val="22"/>
          <w:lang w:val="en-GB" w:bidi="ar-SA"/>
        </w:rPr>
        <w:t>c</w:t>
      </w:r>
      <w:r>
        <w:rPr>
          <w:rFonts w:cs="Times New Roman" w:ascii="Times New Roman" w:hAnsi="Times New Roman"/>
          <w:color w:val="0000FF"/>
          <w:sz w:val="22"/>
          <w:szCs w:val="22"/>
          <w:lang w:val="en-GB" w:bidi="ar-SA"/>
        </w:rPr>
        <w: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 xml:space="preserve">These values give degenerated terms that are covered by other operators. </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 xml:space="preserve">We do not consider probability 0 in the optional feature because it would be </w:t>
      </w:r>
      <w:bookmarkStart w:id="0" w:name="__DdeLink__174_852427910"/>
      <w:r>
        <w:rPr>
          <w:rFonts w:cs="Times New Roman" w:ascii="Times New Roman" w:hAnsi="Times New Roman"/>
          <w:b w:val="false"/>
          <w:bCs w:val="false"/>
          <w:color w:val="0000FF"/>
          <w:sz w:val="22"/>
          <w:szCs w:val="22"/>
          <w:lang w:val="en-GB" w:bidi="ar-SA"/>
        </w:rPr>
        <w:t>equivalent to</w:t>
      </w:r>
      <w:bookmarkEnd w:id="0"/>
      <w:r>
        <w:rPr>
          <w:rFonts w:cs="Times New Roman" w:ascii="Times New Roman" w:hAnsi="Times New Roman"/>
          <w:b w:val="false"/>
          <w:bCs w:val="false"/>
          <w:color w:val="0000FF"/>
          <w:sz w:val="22"/>
          <w:szCs w:val="22"/>
          <w:lang w:val="en-GB" w:bidi="ar-SA"/>
        </w:rPr>
        <w:t xml:space="preserve"> nil. We do not consider probability 1 in this operator because it would be equivalent to the ordinary prefix operator. It is true that we could have fusioned both operators, but we have preferred to follow the tradition of having both kind of features: mandatory and optional.</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In the case of</w:t>
      </w:r>
      <w:r>
        <w:rPr>
          <w:rFonts w:cs="Times New Roman" w:ascii="Times New Roman" w:hAnsi="Times New Roman"/>
          <w:b w:val="false"/>
          <w:bCs w:val="false"/>
          <w:color w:val="0000FF"/>
          <w:sz w:val="22"/>
          <w:szCs w:val="22"/>
          <w:lang w:val="en-GB" w:bidi="ar-SA"/>
        </w:rPr>
        <w:t xml:space="preserve"> the choice operator because these values would give degenerated terms in which one of the subterms are 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bookmarkStart w:id="1" w:name="_GoBack"/>
      <w:bookmarkEnd w:id="1"/>
      <w:r>
        <w:rPr>
          <w:rFonts w:cs="Times New Roman" w:ascii="Times New Roman" w:hAnsi="Times New Roman"/>
          <w:sz w:val="22"/>
          <w:szCs w:val="22"/>
        </w:rPr>
        <w:b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Additionally, we have put some examples of the operational semantics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have extended the related work trying to address this issue.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Please see the answer (Section 5) from the reviewer 1. 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That was a misunderstanding with SPLA, where the binary operators are associative and commutative, so they can be easily extended to n-ary operators. In SPLA^P only conjunction is associative and commutative. However a \/_p is n-ary could be defined. We have removed those paragraphs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to the semantics. We have preferred to keep the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2" w:name="__DdeLink__292_3634951779"/>
      <w:bookmarkEnd w:id="2"/>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compare the processing of calculating if a given feature is part of a final product using the implementation of the probabilistic extension and the implementation of the denotational semantic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in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the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contains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and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The package contains a README.txt files with each script description and some examples for executing them. They are all Python scripts.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3" w:name="__DdeLink__254_462975853"/>
      <w:r>
        <w:rPr>
          <w:rFonts w:cs="Times New Roman" w:ascii="Times New Roman" w:hAnsi="Times New Roman"/>
          <w:color w:val="0000FF"/>
          <w:sz w:val="22"/>
          <w:szCs w:val="22"/>
          <w:lang w:val="en-GB" w:bidi="ar-SA"/>
        </w:rPr>
        <w:t xml:space="preserve">The new version of the paper </w:t>
      </w:r>
      <w:bookmarkEnd w:id="3"/>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pPr>
      <w:r>
        <w:rPr>
          <w:rFonts w:cs="Times New Roman" w:ascii="Times New Roman" w:hAnsi="Times New Roman"/>
          <w:b/>
          <w:color w:val="00B050"/>
          <w:sz w:val="22"/>
          <w:szCs w:val="22"/>
          <w:lang w:val="en-GB" w:bidi="ar-SA"/>
        </w:rPr>
        <w:t>Nosotros usamos el valor de 1 experimento. ¿Tiene sentido utilizar las medias? Carlos, ¿lo ves factible?</w:t>
      </w:r>
    </w:p>
    <w:p>
      <w:pPr>
        <w:pStyle w:val="TextBody"/>
        <w:spacing w:before="0" w:after="0"/>
        <w:jc w:val="both"/>
        <w:rPr>
          <w:rFonts w:ascii="Times New Roman" w:hAnsi="Times New Roman" w:cs="Times New Roman"/>
          <w:b/>
          <w:b/>
          <w:color w:val="00B050"/>
          <w:sz w:val="22"/>
          <w:szCs w:val="22"/>
          <w:lang w:val="en-GB" w:bidi="ar-SA"/>
        </w:rPr>
      </w:pPr>
      <w:r>
        <w:rPr>
          <w:rFonts w:cs="Times New Roman" w:ascii="Times New Roman" w:hAnsi="Times New Roman"/>
          <w:b/>
          <w:color w:val="00B050"/>
          <w:sz w:val="22"/>
          <w:szCs w:val="22"/>
          <w:lang w:val="en-GB" w:bidi="ar-SA"/>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Normal"/>
    <w:qFormat/>
    <w:pPr>
      <w:widowControl w:val="false"/>
      <w:numPr>
        <w:ilvl w:val="0"/>
        <w:numId w:val="1"/>
      </w:numPr>
      <w:bidi w:val="0"/>
      <w:jc w:val="left"/>
      <w:outlineLvl w:val="0"/>
      <w:outlineLvl w:val="0"/>
    </w:pPr>
    <w:rPr>
      <w:b/>
      <w:bCs/>
      <w:sz w:val="36"/>
      <w:szCs w:val="36"/>
    </w:rPr>
  </w:style>
  <w:style w:type="paragraph" w:styleId="Heading2">
    <w:name w:val="Heading 2"/>
    <w:basedOn w:val="Normal"/>
    <w:qFormat/>
    <w:pPr>
      <w:widowControl w:val="false"/>
      <w:numPr>
        <w:ilvl w:val="1"/>
        <w:numId w:val="1"/>
      </w:numPr>
      <w:bidi w:val="0"/>
      <w:spacing w:before="200" w:after="120"/>
      <w:jc w:val="left"/>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name w:val="ListLabel 362"/>
    <w:qFormat/>
    <w:rPr>
      <w:rFonts w:ascii="Times New Roman" w:hAnsi="Times New Roman" w:cs="OpenSymbol"/>
      <w:sz w:val="22"/>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Times New Roman" w:hAnsi="Times New Roman" w:cs="OpenSymbol"/>
      <w:sz w:val="22"/>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Times New Roman" w:hAnsi="Times New Roman" w:cs="OpenSymbol"/>
      <w:sz w:val="22"/>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Times New Roman" w:hAnsi="Times New Roman" w:cs="OpenSymbol"/>
      <w:sz w:val="22"/>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sz w:val="22"/>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sz w:val="22"/>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ascii="Times New Roman" w:hAnsi="Times New Roman" w:cs="OpenSymbol"/>
      <w:sz w:val="22"/>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ascii="Times New Roman" w:hAnsi="Times New Roman" w:cs="OpenSymbol"/>
      <w:sz w:val="22"/>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2"/>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Application>LibreOffice/5.2.7.2$Linux_X86_64 LibreOffice_project/20m0$Build-2</Application>
  <Pages>12</Pages>
  <Words>4487</Words>
  <Characters>23478</Characters>
  <CharactersWithSpaces>27851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2018-11-27T16:24:37Z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