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jc w:val="both"/>
        <w:rPr/>
      </w:pPr>
      <w:r>
        <w:rPr>
          <w:rFonts w:cs="Times New Roman" w:ascii="Times New Roman" w:hAnsi="Times New Roman"/>
          <w:sz w:val="22"/>
          <w:szCs w:val="22"/>
        </w:rPr>
        <w:t>Reviewer 1</w:t>
      </w:r>
    </w:p>
    <w:p>
      <w:pPr>
        <w:pStyle w:val="Normal"/>
        <w:widowControl w:val="false"/>
        <w:numPr>
          <w:ilvl w:val="0"/>
          <w:numId w:val="2"/>
        </w:numPr>
        <w:overflowPunct w:val="true"/>
        <w:spacing w:lineRule="atLeast" w:line="300" w:before="0" w:after="240"/>
        <w:jc w:val="both"/>
        <w:rPr/>
      </w:pPr>
      <w:r>
        <w:rPr>
          <w:rFonts w:cs="Times New Roman" w:ascii="Times New Roman" w:hAnsi="Times New Roman"/>
          <w:sz w:val="22"/>
          <w:szCs w:val="22"/>
        </w:rPr>
        <w:t xml:space="preserve">Next, we provide answers (in blue text) to the comments/remarks pointed out by the reviewers (in black text). </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The hide operator is important for the implementation.  It maybe not possible to compute all the SPL, it may be feasible to compute the probability of a particular feature. It is achieved by hiding sets of features, that is, those “hidden” features do not affect the processing of the probability of a feature X for being part of a valid product.  We mention this in the new version of the Introduction and we have included a paragraph with an example in the Empirical Study Section to explain it.</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pPr>
      <w:r>
        <w:rPr>
          <w:rFonts w:cs="Times New Roman" w:ascii="Times New Roman" w:hAnsi="Times New Roman"/>
          <w:sz w:val="22"/>
          <w:szCs w:val="22"/>
        </w:rPr>
        <w:t>the probability of having a mandatory feature is 0.2,The proof of the following result is an immediate consequence of Lemmas~\ref{lem:pref}--\ref{lem:excl} (see Appendix~\ref{app:proofs} of the paper)</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bookmarkStart w:id="0" w:name="__DdeLink__1222_1378409814"/>
      <w:bookmarkStart w:id="1" w:name="__DdeLink__1222_1378409814"/>
      <w:bookmarkEnd w:id="1"/>
      <w:r>
        <w:rPr/>
      </w:r>
    </w:p>
    <w:p>
      <w:pPr>
        <w:pStyle w:val="Normal"/>
        <w:widowControl w:val="false"/>
        <w:overflowPunct w:val="true"/>
        <w:spacing w:lineRule="atLeast" w:line="300" w:before="0" w:after="24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featurThe proof of the following result is an immediate consequence of Lemmas~\ref{lem:pref}--\ref{lem:excl} (see Appendix~\ref{app:proofs} of the paper)es).'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 xml:space="preserve">These values give degenerate terms that are covered by other operators. We do not consider probability 0 in the optional feature because it would be </w:t>
      </w:r>
      <w:bookmarkStart w:id="2" w:name="__DdeLink__174_852427910"/>
      <w:r>
        <w:rPr>
          <w:rFonts w:cs="Times New Roman" w:ascii="Times New Roman" w:hAnsi="Times New Roman"/>
          <w:color w:val="0000FF"/>
          <w:sz w:val="22"/>
          <w:szCs w:val="22"/>
          <w:lang w:val="en-GB" w:bidi="ar-SA"/>
        </w:rPr>
        <w:t>equivalent to</w:t>
      </w:r>
      <w:bookmarkEnd w:id="2"/>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kinds of features: mandatory and optional. In the case of the choice operator, these values would give degenerated terms in which one of the sub-terms is never considered.</w:t>
      </w:r>
    </w:p>
    <w:p>
      <w:pPr>
        <w:pStyle w:val="TextBody"/>
        <w:spacing w:before="0" w:after="0"/>
        <w:jc w:val="both"/>
        <w:rPr/>
      </w:pPr>
      <w:r>
        <w:rPr>
          <w:rFonts w:cs="Times New Roman" w:ascii="Times New Roman" w:hAnsi="Times New Roman"/>
          <w:sz w:val="22"/>
          <w:szCs w:val="22"/>
        </w:rPr>
        <w:b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character" w:styleId="ListLabel552">
    <w:name w:val="ListLabel 552"/>
    <w:qFormat/>
    <w:rPr>
      <w:rFonts w:cs="OpenSymbol"/>
      <w:sz w:val="22"/>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sz w:val="22"/>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sz w:val="22"/>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sz w:val="22"/>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sz w:val="22"/>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Application>LibreOffice/5.4.6.2$Linux_X86_64 LibreOffice_project/40$Build-2</Application>
  <Pages>4</Pages>
  <Words>1676</Words>
  <Characters>8430</Characters>
  <CharactersWithSpaces>10058</CharactersWithSpaces>
  <Paragraphs>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2018-11-30T08:55:01Z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