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5E169" w14:textId="71943EA5" w:rsidR="00E56BAE" w:rsidRPr="00E42759" w:rsidRDefault="00E56BAE" w:rsidP="00E42759">
      <w:pPr>
        <w:jc w:val="center"/>
        <w:rPr>
          <w:rFonts w:ascii="Arial Narrow" w:hAnsi="Arial Narrow"/>
          <w:b/>
          <w:sz w:val="24"/>
          <w:szCs w:val="24"/>
        </w:rPr>
      </w:pPr>
      <w:r w:rsidRPr="00E42759">
        <w:rPr>
          <w:rFonts w:ascii="Arial Narrow" w:hAnsi="Arial Narrow"/>
          <w:b/>
          <w:sz w:val="24"/>
          <w:szCs w:val="24"/>
        </w:rPr>
        <w:t>Anexo II</w:t>
      </w:r>
      <w:r w:rsidR="00C42252">
        <w:rPr>
          <w:rFonts w:ascii="Arial Narrow" w:hAnsi="Arial Narrow"/>
          <w:b/>
          <w:sz w:val="24"/>
          <w:szCs w:val="24"/>
        </w:rPr>
        <w:t>I</w:t>
      </w:r>
    </w:p>
    <w:p w14:paraId="3445736E" w14:textId="77777777" w:rsidR="00E42759" w:rsidRPr="003A6E5E" w:rsidRDefault="003A6E5E" w:rsidP="003A6E5E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SLAs</w:t>
      </w:r>
      <w:r w:rsidR="00E42759">
        <w:rPr>
          <w:rFonts w:ascii="Arial Narrow" w:hAnsi="Arial Narrow"/>
          <w:b/>
          <w:sz w:val="24"/>
          <w:szCs w:val="24"/>
        </w:rPr>
        <w:t>,</w:t>
      </w:r>
      <w:r w:rsidR="00E42759" w:rsidRPr="00E42759">
        <w:rPr>
          <w:rFonts w:ascii="Arial Narrow" w:hAnsi="Arial Narrow"/>
          <w:b/>
          <w:sz w:val="24"/>
          <w:szCs w:val="24"/>
        </w:rPr>
        <w:t xml:space="preserve"> NÍVEIS DE SERVIÇO E PENALIDADES POR INCUMPRIMENTO</w:t>
      </w:r>
    </w:p>
    <w:p w14:paraId="61EA5C8B" w14:textId="77777777" w:rsidR="00F66B28" w:rsidRDefault="00F66B28" w:rsidP="003A6E5E">
      <w:pPr>
        <w:jc w:val="both"/>
        <w:rPr>
          <w:rFonts w:ascii="Arial Narrow" w:hAnsi="Arial Narrow"/>
          <w:sz w:val="24"/>
          <w:szCs w:val="24"/>
        </w:rPr>
      </w:pPr>
    </w:p>
    <w:p w14:paraId="72D463C0" w14:textId="3836B825" w:rsidR="00C42252" w:rsidRDefault="00F66B28" w:rsidP="003A6E5E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Prestador, no âmbito da prestação de serviços contratada, compromete-se ao cumprimento dos seguintes níveis de serviço</w:t>
      </w:r>
      <w:bookmarkStart w:id="0" w:name="_GoBack"/>
      <w:bookmarkEnd w:id="0"/>
      <w:r w:rsidR="009E2CBB">
        <w:rPr>
          <w:rFonts w:ascii="Arial Narrow" w:hAnsi="Arial Narrow"/>
          <w:sz w:val="24"/>
          <w:szCs w:val="24"/>
        </w:rPr>
        <w:t>s:</w:t>
      </w:r>
    </w:p>
    <w:p w14:paraId="09FE975C" w14:textId="03D74E35" w:rsidR="00632C62" w:rsidRDefault="00632C62" w:rsidP="00E56BAE"/>
    <w:p w14:paraId="5672BFDF" w14:textId="4CE6C13B" w:rsidR="00632C62" w:rsidRDefault="00632C62" w:rsidP="00E56B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632C62" w14:paraId="3241F1B5" w14:textId="77777777" w:rsidTr="00632C62">
        <w:tc>
          <w:tcPr>
            <w:tcW w:w="2265" w:type="dxa"/>
          </w:tcPr>
          <w:p w14:paraId="0C9C6AF2" w14:textId="77777777" w:rsidR="00632C62" w:rsidRDefault="00632C62" w:rsidP="00E56BAE"/>
        </w:tc>
        <w:tc>
          <w:tcPr>
            <w:tcW w:w="2265" w:type="dxa"/>
          </w:tcPr>
          <w:p w14:paraId="00ED5E01" w14:textId="77777777" w:rsidR="00632C62" w:rsidRDefault="00632C62" w:rsidP="00E56BAE">
            <w:r>
              <w:t>URGÊNCIAS</w:t>
            </w:r>
          </w:p>
          <w:p w14:paraId="67BF8DC5" w14:textId="6F456F6C" w:rsidR="00BB4634" w:rsidRDefault="00BB4634" w:rsidP="00E56BAE">
            <w:r>
              <w:t>(Urgent)</w:t>
            </w:r>
          </w:p>
        </w:tc>
        <w:tc>
          <w:tcPr>
            <w:tcW w:w="2265" w:type="dxa"/>
          </w:tcPr>
          <w:p w14:paraId="08C8F0A4" w14:textId="77777777" w:rsidR="00632C62" w:rsidRDefault="00632C62" w:rsidP="00E56BAE">
            <w:r>
              <w:t>DIÁRIAS</w:t>
            </w:r>
          </w:p>
          <w:p w14:paraId="3AAE9FD3" w14:textId="28F2C47C" w:rsidR="00BB4634" w:rsidRDefault="00BB4634" w:rsidP="00E56BAE">
            <w:r>
              <w:t>(Daily)</w:t>
            </w:r>
          </w:p>
        </w:tc>
        <w:tc>
          <w:tcPr>
            <w:tcW w:w="2265" w:type="dxa"/>
          </w:tcPr>
          <w:p w14:paraId="0776C42F" w14:textId="77777777" w:rsidR="00632C62" w:rsidRDefault="00632C62" w:rsidP="00E56BAE">
            <w:r>
              <w:t xml:space="preserve">GRANDES </w:t>
            </w:r>
          </w:p>
          <w:p w14:paraId="583632A6" w14:textId="67470C96" w:rsidR="00BB4634" w:rsidRDefault="00BB4634" w:rsidP="00E56BAE">
            <w:r>
              <w:t>(Renewals)</w:t>
            </w:r>
          </w:p>
        </w:tc>
      </w:tr>
      <w:tr w:rsidR="00632C62" w14:paraId="6E5AA552" w14:textId="77777777" w:rsidTr="00632C62">
        <w:tc>
          <w:tcPr>
            <w:tcW w:w="2265" w:type="dxa"/>
          </w:tcPr>
          <w:p w14:paraId="26E279B5" w14:textId="1D51E1A7" w:rsidR="00632C62" w:rsidRDefault="009E2CBB" w:rsidP="00E56BAE">
            <w:r>
              <w:t>Quantidades</w:t>
            </w:r>
          </w:p>
        </w:tc>
        <w:tc>
          <w:tcPr>
            <w:tcW w:w="2265" w:type="dxa"/>
          </w:tcPr>
          <w:p w14:paraId="5963DD22" w14:textId="6F6B9E3D" w:rsidR="00632C62" w:rsidRDefault="009E2CBB" w:rsidP="00E56BAE">
            <w:r>
              <w:t>Até 1000 cartões</w:t>
            </w:r>
          </w:p>
        </w:tc>
        <w:tc>
          <w:tcPr>
            <w:tcW w:w="2265" w:type="dxa"/>
          </w:tcPr>
          <w:p w14:paraId="67274D05" w14:textId="195FE8DC" w:rsidR="00632C62" w:rsidRDefault="009E2CBB" w:rsidP="00E56BAE">
            <w:r>
              <w:t>Até 3000 cartões encomenda</w:t>
            </w:r>
          </w:p>
        </w:tc>
        <w:tc>
          <w:tcPr>
            <w:tcW w:w="2265" w:type="dxa"/>
          </w:tcPr>
          <w:p w14:paraId="69C2B9B1" w14:textId="291FEAB0" w:rsidR="00632C62" w:rsidRDefault="009E2CBB" w:rsidP="00E56BAE">
            <w:r>
              <w:t>Mais de 15.000</w:t>
            </w:r>
          </w:p>
        </w:tc>
      </w:tr>
      <w:tr w:rsidR="00632C62" w14:paraId="2C178B88" w14:textId="77777777" w:rsidTr="00632C62">
        <w:tc>
          <w:tcPr>
            <w:tcW w:w="2265" w:type="dxa"/>
          </w:tcPr>
          <w:p w14:paraId="26853BD1" w14:textId="0DD5DA35" w:rsidR="00632C62" w:rsidRDefault="009E2CBB" w:rsidP="00E56BAE">
            <w:r>
              <w:t>Prazo de entrega</w:t>
            </w:r>
          </w:p>
        </w:tc>
        <w:tc>
          <w:tcPr>
            <w:tcW w:w="2265" w:type="dxa"/>
          </w:tcPr>
          <w:p w14:paraId="605492AC" w14:textId="1D64714E" w:rsidR="00632C62" w:rsidRDefault="009E2CBB" w:rsidP="00E56BAE">
            <w:r>
              <w:t>3 horas</w:t>
            </w:r>
          </w:p>
        </w:tc>
        <w:tc>
          <w:tcPr>
            <w:tcW w:w="2265" w:type="dxa"/>
          </w:tcPr>
          <w:p w14:paraId="278BB0D8" w14:textId="7BB78224" w:rsidR="00632C62" w:rsidRDefault="009E2CBB" w:rsidP="00E56BAE">
            <w:r>
              <w:t>Dia D+2</w:t>
            </w:r>
          </w:p>
        </w:tc>
        <w:tc>
          <w:tcPr>
            <w:tcW w:w="2265" w:type="dxa"/>
          </w:tcPr>
          <w:p w14:paraId="3A619C65" w14:textId="77777777" w:rsidR="00632C62" w:rsidRDefault="009E2CBB" w:rsidP="00E56BAE">
            <w:r>
              <w:t>Carta de requisitos: D+1</w:t>
            </w:r>
          </w:p>
          <w:p w14:paraId="350C1893" w14:textId="79DCDBDD" w:rsidR="009E2CBB" w:rsidRDefault="009E2CBB" w:rsidP="009E2CBB">
            <w:r>
              <w:t>Cartão: 3 semanas</w:t>
            </w:r>
          </w:p>
        </w:tc>
      </w:tr>
      <w:tr w:rsidR="00632C62" w14:paraId="28C88787" w14:textId="77777777" w:rsidTr="00632C62">
        <w:tc>
          <w:tcPr>
            <w:tcW w:w="2265" w:type="dxa"/>
          </w:tcPr>
          <w:p w14:paraId="1E50A8DD" w14:textId="67FCE5FD" w:rsidR="00632C62" w:rsidRDefault="009E2CBB" w:rsidP="00E56BAE">
            <w:r>
              <w:t>Garantia de entregas (por dia útil)</w:t>
            </w:r>
          </w:p>
        </w:tc>
        <w:tc>
          <w:tcPr>
            <w:tcW w:w="2265" w:type="dxa"/>
          </w:tcPr>
          <w:p w14:paraId="176AF291" w14:textId="77777777" w:rsidR="00632C62" w:rsidRDefault="00632C62" w:rsidP="00E56BAE"/>
        </w:tc>
        <w:tc>
          <w:tcPr>
            <w:tcW w:w="2265" w:type="dxa"/>
          </w:tcPr>
          <w:p w14:paraId="7CE854B4" w14:textId="7A2DAA97" w:rsidR="00632C62" w:rsidRDefault="009E2CBB" w:rsidP="00E56BAE">
            <w:r>
              <w:t>3.000 cartões</w:t>
            </w:r>
          </w:p>
        </w:tc>
        <w:tc>
          <w:tcPr>
            <w:tcW w:w="2265" w:type="dxa"/>
          </w:tcPr>
          <w:p w14:paraId="780667C9" w14:textId="22A14663" w:rsidR="00632C62" w:rsidRDefault="009E2CBB" w:rsidP="00E56BAE">
            <w:r>
              <w:t>7.500 cartões</w:t>
            </w:r>
          </w:p>
        </w:tc>
      </w:tr>
      <w:tr w:rsidR="00632C62" w14:paraId="28833683" w14:textId="77777777" w:rsidTr="00632C62">
        <w:tc>
          <w:tcPr>
            <w:tcW w:w="2265" w:type="dxa"/>
          </w:tcPr>
          <w:p w14:paraId="3004031C" w14:textId="1FDB1A24" w:rsidR="00632C62" w:rsidRDefault="009E2CBB" w:rsidP="00E56BAE">
            <w:r>
              <w:t>Dimensão de cada ficheiro</w:t>
            </w:r>
          </w:p>
        </w:tc>
        <w:tc>
          <w:tcPr>
            <w:tcW w:w="2265" w:type="dxa"/>
          </w:tcPr>
          <w:p w14:paraId="24F82470" w14:textId="572E11F5" w:rsidR="00632C62" w:rsidRDefault="009E2CBB" w:rsidP="00E56BAE">
            <w:r>
              <w:t>Até 1.000 cartões</w:t>
            </w:r>
          </w:p>
        </w:tc>
        <w:tc>
          <w:tcPr>
            <w:tcW w:w="2265" w:type="dxa"/>
          </w:tcPr>
          <w:p w14:paraId="5E9A994E" w14:textId="0FAE41CA" w:rsidR="00632C62" w:rsidRDefault="009E2CBB" w:rsidP="00E56BAE">
            <w:r>
              <w:t xml:space="preserve">Até 3.000 </w:t>
            </w:r>
          </w:p>
        </w:tc>
        <w:tc>
          <w:tcPr>
            <w:tcW w:w="2265" w:type="dxa"/>
          </w:tcPr>
          <w:p w14:paraId="6BF81D26" w14:textId="603F6BD3" w:rsidR="00632C62" w:rsidRDefault="009E2CBB" w:rsidP="00E56BAE">
            <w:r>
              <w:t>Até 5.000</w:t>
            </w:r>
          </w:p>
        </w:tc>
      </w:tr>
      <w:tr w:rsidR="00632C62" w14:paraId="6A3436D6" w14:textId="77777777" w:rsidTr="00632C62">
        <w:tc>
          <w:tcPr>
            <w:tcW w:w="2265" w:type="dxa"/>
          </w:tcPr>
          <w:p w14:paraId="4CCF153C" w14:textId="1FEF0B0C" w:rsidR="00632C62" w:rsidRDefault="009E2CBB" w:rsidP="00E56BAE">
            <w:r>
              <w:t>Hora de referência de receção do ficheiro</w:t>
            </w:r>
          </w:p>
        </w:tc>
        <w:tc>
          <w:tcPr>
            <w:tcW w:w="2265" w:type="dxa"/>
          </w:tcPr>
          <w:p w14:paraId="3F6E69E0" w14:textId="0F6E8FC8" w:rsidR="00632C62" w:rsidRDefault="009E2CBB" w:rsidP="00E56BAE">
            <w:r>
              <w:t>Das 6h às 17h</w:t>
            </w:r>
          </w:p>
        </w:tc>
        <w:tc>
          <w:tcPr>
            <w:tcW w:w="2265" w:type="dxa"/>
          </w:tcPr>
          <w:p w14:paraId="09E0905E" w14:textId="6BD41F36" w:rsidR="00632C62" w:rsidRDefault="009E2CBB" w:rsidP="00E56BAE">
            <w:r>
              <w:t>Até às 6h</w:t>
            </w:r>
          </w:p>
        </w:tc>
        <w:tc>
          <w:tcPr>
            <w:tcW w:w="2265" w:type="dxa"/>
          </w:tcPr>
          <w:p w14:paraId="070F1F66" w14:textId="33EA76E5" w:rsidR="00632C62" w:rsidRDefault="009E2CBB" w:rsidP="00E56BAE">
            <w:r>
              <w:t>Até às 6h</w:t>
            </w:r>
          </w:p>
        </w:tc>
      </w:tr>
      <w:tr w:rsidR="00632C62" w14:paraId="64C2BEA7" w14:textId="77777777" w:rsidTr="00632C62">
        <w:tc>
          <w:tcPr>
            <w:tcW w:w="2265" w:type="dxa"/>
          </w:tcPr>
          <w:p w14:paraId="7028A514" w14:textId="2D942816" w:rsidR="00632C62" w:rsidRDefault="009E2CBB" w:rsidP="00E56BAE">
            <w:r>
              <w:t>Hora de entrega do cartão personalizado (dias úteis)</w:t>
            </w:r>
          </w:p>
        </w:tc>
        <w:tc>
          <w:tcPr>
            <w:tcW w:w="2265" w:type="dxa"/>
          </w:tcPr>
          <w:p w14:paraId="6251DB56" w14:textId="59FD5934" w:rsidR="00632C62" w:rsidRDefault="009E2CBB" w:rsidP="00E56BAE">
            <w:r>
              <w:t>Das 9h às 20h</w:t>
            </w:r>
          </w:p>
        </w:tc>
        <w:tc>
          <w:tcPr>
            <w:tcW w:w="2265" w:type="dxa"/>
          </w:tcPr>
          <w:p w14:paraId="795861CF" w14:textId="64A4F11A" w:rsidR="00632C62" w:rsidRDefault="009E2CBB" w:rsidP="00E56BAE">
            <w:r>
              <w:t>A partir das 18h</w:t>
            </w:r>
          </w:p>
        </w:tc>
        <w:tc>
          <w:tcPr>
            <w:tcW w:w="2265" w:type="dxa"/>
          </w:tcPr>
          <w:p w14:paraId="4EAD2DCC" w14:textId="31655B01" w:rsidR="00632C62" w:rsidRDefault="009E2CBB" w:rsidP="00E56BAE">
            <w:r>
              <w:t>A partir das 18h</w:t>
            </w:r>
          </w:p>
        </w:tc>
      </w:tr>
      <w:tr w:rsidR="00BB4634" w14:paraId="77270162" w14:textId="77777777" w:rsidTr="00FA6C13">
        <w:tc>
          <w:tcPr>
            <w:tcW w:w="9060" w:type="dxa"/>
            <w:gridSpan w:val="4"/>
          </w:tcPr>
          <w:p w14:paraId="4D0C97C3" w14:textId="260B7DF3" w:rsidR="00BB4634" w:rsidRDefault="00BB4634" w:rsidP="00BB4634">
            <w:pPr>
              <w:jc w:val="center"/>
            </w:pPr>
            <w:r>
              <w:t>Penalidades</w:t>
            </w:r>
          </w:p>
        </w:tc>
      </w:tr>
      <w:tr w:rsidR="009E2CBB" w14:paraId="66A8E1BF" w14:textId="77777777" w:rsidTr="00632C62">
        <w:tc>
          <w:tcPr>
            <w:tcW w:w="2265" w:type="dxa"/>
          </w:tcPr>
          <w:p w14:paraId="17E21803" w14:textId="77777777" w:rsidR="00BB4634" w:rsidRDefault="00BB4634" w:rsidP="00E56BAE"/>
          <w:p w14:paraId="277B2107" w14:textId="18267EFB" w:rsidR="009E2CBB" w:rsidRDefault="009E2CBB" w:rsidP="00E56BAE">
            <w:r>
              <w:t>Penalização por incumprimento</w:t>
            </w:r>
          </w:p>
        </w:tc>
        <w:tc>
          <w:tcPr>
            <w:tcW w:w="2265" w:type="dxa"/>
          </w:tcPr>
          <w:p w14:paraId="39AED97E" w14:textId="1AED7C20" w:rsidR="009E2CBB" w:rsidRDefault="009E2CBB" w:rsidP="00E56BAE">
            <w:r>
              <w:t>5% do custo de personalização por hora de atraso (até 100%)</w:t>
            </w:r>
          </w:p>
        </w:tc>
        <w:tc>
          <w:tcPr>
            <w:tcW w:w="2265" w:type="dxa"/>
          </w:tcPr>
          <w:p w14:paraId="03DA8959" w14:textId="0597FA8A" w:rsidR="009E2CBB" w:rsidRDefault="009E2CBB" w:rsidP="00E56BAE">
            <w:r>
              <w:t>5% do custo de personalização por hora de atraso (até 100%)</w:t>
            </w:r>
          </w:p>
        </w:tc>
        <w:tc>
          <w:tcPr>
            <w:tcW w:w="2265" w:type="dxa"/>
          </w:tcPr>
          <w:p w14:paraId="71D3D540" w14:textId="53501BDE" w:rsidR="009E2CBB" w:rsidRDefault="009E2CBB" w:rsidP="00E56BAE">
            <w:r>
              <w:t>5% do custo de personalização por hora de atraso (até 100%)</w:t>
            </w:r>
          </w:p>
        </w:tc>
      </w:tr>
      <w:tr w:rsidR="00BB4634" w:rsidRPr="00BB4634" w14:paraId="281CBF0A" w14:textId="77777777" w:rsidTr="006472D9">
        <w:tc>
          <w:tcPr>
            <w:tcW w:w="9060" w:type="dxa"/>
            <w:gridSpan w:val="4"/>
          </w:tcPr>
          <w:p w14:paraId="66B425D8" w14:textId="7162405B" w:rsidR="00BB4634" w:rsidRPr="00BB4634" w:rsidRDefault="00BB4634" w:rsidP="00E56BAE">
            <w:r w:rsidRPr="00BB4634">
              <w:rPr>
                <w:b/>
                <w:bCs/>
              </w:rPr>
              <w:t>Penalização por Incident Management:</w:t>
            </w:r>
            <w:r w:rsidRPr="00BB4634">
              <w:br/>
              <w:t>Crítico: 5% do custo de produção para cada dia de atraso do calendário; Normal</w:t>
            </w:r>
            <w:r>
              <w:t>:</w:t>
            </w:r>
            <w:r w:rsidRPr="00BB4634">
              <w:t xml:space="preserve"> 5% do custo de produção para cada dia útil de atraso; Lowl</w:t>
            </w:r>
            <w:r>
              <w:t>:</w:t>
            </w:r>
            <w:r w:rsidRPr="00BB4634">
              <w:t xml:space="preserve"> 5% do custo de produção por cada semana de atraso</w:t>
            </w:r>
          </w:p>
        </w:tc>
      </w:tr>
    </w:tbl>
    <w:p w14:paraId="4B8FD2FE" w14:textId="77777777" w:rsidR="00632C62" w:rsidRPr="00BB4634" w:rsidRDefault="00632C62" w:rsidP="00E56BAE"/>
    <w:p w14:paraId="0962E568" w14:textId="4A751B08" w:rsidR="00F66B28" w:rsidRPr="00BB4634" w:rsidRDefault="00F66B28" w:rsidP="003A6E5E">
      <w:pPr>
        <w:rPr>
          <w:rFonts w:ascii="Arial Narrow" w:hAnsi="Arial Narrow"/>
          <w:sz w:val="24"/>
          <w:szCs w:val="24"/>
        </w:rPr>
      </w:pPr>
    </w:p>
    <w:sectPr w:rsidR="00F66B28" w:rsidRPr="00BB4634" w:rsidSect="00D02568">
      <w:headerReference w:type="even" r:id="rId8"/>
      <w:footerReference w:type="even" r:id="rId9"/>
      <w:footerReference w:type="default" r:id="rId10"/>
      <w:pgSz w:w="11907" w:h="16840" w:code="9"/>
      <w:pgMar w:top="1710" w:right="1138" w:bottom="1800" w:left="1699" w:header="45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BC93F" w14:textId="77777777" w:rsidR="00BD431E" w:rsidRDefault="00F66B28">
      <w:pPr>
        <w:spacing w:after="0" w:line="240" w:lineRule="auto"/>
      </w:pPr>
      <w:r>
        <w:separator/>
      </w:r>
    </w:p>
  </w:endnote>
  <w:endnote w:type="continuationSeparator" w:id="0">
    <w:p w14:paraId="593F86A8" w14:textId="77777777" w:rsidR="00BD431E" w:rsidRDefault="00F6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751B8" w14:textId="77777777" w:rsidR="00465C92" w:rsidRDefault="000316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26BC50" w14:textId="77777777" w:rsidR="00465C92" w:rsidRDefault="00BB46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A90A4" w14:textId="07EE0E63" w:rsidR="00465C92" w:rsidRDefault="000316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463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1BA0B7" w14:textId="77777777" w:rsidR="00465C92" w:rsidRDefault="00BB4634" w:rsidP="00710E5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A89FBE" w14:textId="77777777" w:rsidR="00BD431E" w:rsidRDefault="00F66B28">
      <w:pPr>
        <w:spacing w:after="0" w:line="240" w:lineRule="auto"/>
      </w:pPr>
      <w:r>
        <w:separator/>
      </w:r>
    </w:p>
  </w:footnote>
  <w:footnote w:type="continuationSeparator" w:id="0">
    <w:p w14:paraId="64A5C23E" w14:textId="77777777" w:rsidR="00BD431E" w:rsidRDefault="00F66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E799D" w14:textId="77777777" w:rsidR="00465C92" w:rsidRDefault="000316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  <w:p w14:paraId="0E4C33A3" w14:textId="77777777" w:rsidR="00465C92" w:rsidRDefault="00BB463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15A45"/>
    <w:multiLevelType w:val="hybridMultilevel"/>
    <w:tmpl w:val="9318A7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96CB9"/>
    <w:multiLevelType w:val="hybridMultilevel"/>
    <w:tmpl w:val="D248AF54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E76E5"/>
    <w:multiLevelType w:val="hybridMultilevel"/>
    <w:tmpl w:val="A1FE1B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AE"/>
    <w:rsid w:val="00031661"/>
    <w:rsid w:val="0025201B"/>
    <w:rsid w:val="003A6E5E"/>
    <w:rsid w:val="004D12E8"/>
    <w:rsid w:val="00522CB0"/>
    <w:rsid w:val="00632C62"/>
    <w:rsid w:val="007A754F"/>
    <w:rsid w:val="009E2CBB"/>
    <w:rsid w:val="00BB4634"/>
    <w:rsid w:val="00BD431E"/>
    <w:rsid w:val="00C42252"/>
    <w:rsid w:val="00CF2CA3"/>
    <w:rsid w:val="00E42759"/>
    <w:rsid w:val="00E56BAE"/>
    <w:rsid w:val="00F6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B204D"/>
  <w15:chartTrackingRefBased/>
  <w15:docId w15:val="{3CC02D28-92C1-480B-ABF8-3DB09AEA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6B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6BAE"/>
  </w:style>
  <w:style w:type="paragraph" w:styleId="Footer">
    <w:name w:val="footer"/>
    <w:basedOn w:val="Normal"/>
    <w:link w:val="FooterChar"/>
    <w:uiPriority w:val="99"/>
    <w:semiHidden/>
    <w:unhideWhenUsed/>
    <w:rsid w:val="00E56B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6BAE"/>
  </w:style>
  <w:style w:type="character" w:styleId="PageNumber">
    <w:name w:val="page number"/>
    <w:basedOn w:val="DefaultParagraphFont"/>
    <w:rsid w:val="00E56BAE"/>
  </w:style>
  <w:style w:type="character" w:styleId="CommentReference">
    <w:name w:val="annotation reference"/>
    <w:basedOn w:val="DefaultParagraphFont"/>
    <w:uiPriority w:val="99"/>
    <w:semiHidden/>
    <w:unhideWhenUsed/>
    <w:rsid w:val="00E42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27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2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7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5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31661"/>
    <w:pPr>
      <w:ind w:left="720"/>
      <w:contextualSpacing/>
    </w:pPr>
  </w:style>
  <w:style w:type="table" w:styleId="TableGrid">
    <w:name w:val="Table Grid"/>
    <w:basedOn w:val="TableNormal"/>
    <w:uiPriority w:val="39"/>
    <w:rsid w:val="00632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2526D-25FE-4D47-A507-AB63F8505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Banco BNP Paribas PF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Alvim</dc:creator>
  <cp:keywords/>
  <dc:description/>
  <cp:lastModifiedBy>Joana Alvim</cp:lastModifiedBy>
  <cp:revision>4</cp:revision>
  <cp:lastPrinted>2018-01-11T15:59:00Z</cp:lastPrinted>
  <dcterms:created xsi:type="dcterms:W3CDTF">2018-01-08T17:12:00Z</dcterms:created>
  <dcterms:modified xsi:type="dcterms:W3CDTF">2018-01-11T16:12:00Z</dcterms:modified>
</cp:coreProperties>
</file>