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5434"/>
      </w:tblGrid>
      <w:tr w:rsidR="00607517" w:rsidRPr="00D1098A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21021C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21021C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 w:rsidP="0021021C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vAlign w:val="center"/>
          </w:tcPr>
          <w:p w:rsidR="00607517" w:rsidRPr="00D1098A" w:rsidRDefault="00607517" w:rsidP="0021021C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D1098A">
              <w:rPr>
                <w:rFonts w:ascii="Arial" w:hAnsi="Arial" w:cs="Arial"/>
                <w:b/>
                <w:color w:val="008080"/>
                <w:sz w:val="28"/>
                <w:lang w:val="en-US"/>
              </w:rPr>
              <w:t>Meeting Agenda</w:t>
            </w:r>
            <w:r w:rsidR="00CB1EA9">
              <w:rPr>
                <w:rFonts w:ascii="Arial" w:hAnsi="Arial" w:cs="Arial"/>
                <w:b/>
                <w:color w:val="008080"/>
                <w:sz w:val="28"/>
                <w:lang w:val="en-US"/>
              </w:rPr>
              <w:t xml:space="preserve"> – Internal Only</w:t>
            </w:r>
          </w:p>
        </w:tc>
      </w:tr>
      <w:tr w:rsidR="009C7AAF" w:rsidRPr="003E4859" w:rsidTr="009C7AAF">
        <w:trPr>
          <w:trHeight w:val="632"/>
        </w:trPr>
        <w:tc>
          <w:tcPr>
            <w:tcW w:w="4253" w:type="dxa"/>
            <w:vMerge/>
          </w:tcPr>
          <w:p w:rsidR="009C7AAF" w:rsidRPr="00D1098A" w:rsidRDefault="009C7AAF" w:rsidP="0021021C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9C7AAF" w:rsidRPr="00D1098A" w:rsidRDefault="009C7AAF" w:rsidP="002102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434" w:type="dxa"/>
            <w:vAlign w:val="center"/>
          </w:tcPr>
          <w:p w:rsidR="009C7AAF" w:rsidRPr="0021021C" w:rsidRDefault="00A4498A" w:rsidP="003E4859">
            <w:pPr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B BNPP PF – </w:t>
            </w:r>
            <w:r w:rsidR="00452ECA" w:rsidRPr="0021021C">
              <w:rPr>
                <w:rFonts w:ascii="Arial" w:hAnsi="Arial" w:cs="Arial"/>
                <w:sz w:val="24"/>
                <w:lang w:val="en-US"/>
              </w:rPr>
              <w:t>SIBS Cartões</w:t>
            </w:r>
            <w:r w:rsidR="009C7AAF" w:rsidRPr="0021021C">
              <w:rPr>
                <w:rFonts w:ascii="Arial" w:hAnsi="Arial" w:cs="Arial"/>
                <w:sz w:val="24"/>
                <w:lang w:val="en-US"/>
              </w:rPr>
              <w:t xml:space="preserve"> Committee</w:t>
            </w:r>
          </w:p>
        </w:tc>
      </w:tr>
    </w:tbl>
    <w:p w:rsidR="009672D1" w:rsidRPr="00D1098A" w:rsidRDefault="009672D1" w:rsidP="0021021C">
      <w:pPr>
        <w:spacing w:after="0" w:line="240" w:lineRule="auto"/>
        <w:rPr>
          <w:rFonts w:ascii="Arial" w:hAnsi="Arial" w:cs="Arial"/>
          <w:lang w:val="en-US"/>
        </w:rPr>
      </w:pPr>
    </w:p>
    <w:p w:rsidR="00607517" w:rsidRPr="00D1098A" w:rsidRDefault="00607517" w:rsidP="0021021C">
      <w:pPr>
        <w:pBdr>
          <w:bottom w:val="single" w:sz="12" w:space="1" w:color="008080"/>
        </w:pBdr>
        <w:spacing w:after="120" w:line="240" w:lineRule="auto"/>
        <w:rPr>
          <w:rFonts w:ascii="Arial" w:hAnsi="Arial" w:cs="Arial"/>
          <w:b/>
          <w:color w:val="008080"/>
          <w:lang w:val="en-US"/>
        </w:rPr>
      </w:pPr>
      <w:r w:rsidRPr="00D1098A">
        <w:rPr>
          <w:rFonts w:ascii="Arial" w:hAnsi="Arial" w:cs="Arial"/>
          <w:b/>
          <w:color w:val="008080"/>
          <w:lang w:val="en-US"/>
        </w:rPr>
        <w:t>Meeting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2931"/>
        <w:gridCol w:w="1273"/>
        <w:gridCol w:w="4301"/>
      </w:tblGrid>
      <w:tr w:rsidR="009C7AAF" w:rsidRPr="00D1098A" w:rsidTr="009C7AAF">
        <w:tc>
          <w:tcPr>
            <w:tcW w:w="1418" w:type="dxa"/>
          </w:tcPr>
          <w:p w:rsidR="009C7AAF" w:rsidRPr="00D1098A" w:rsidRDefault="009C7AAF" w:rsidP="0021021C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D1098A">
              <w:rPr>
                <w:rFonts w:ascii="Arial" w:hAnsi="Arial" w:cs="Arial"/>
                <w:b/>
                <w:lang w:val="en-US"/>
              </w:rPr>
              <w:t>Date:</w:t>
            </w:r>
          </w:p>
        </w:tc>
        <w:tc>
          <w:tcPr>
            <w:tcW w:w="2977" w:type="dxa"/>
          </w:tcPr>
          <w:p w:rsidR="009C7AAF" w:rsidRPr="00D1098A" w:rsidRDefault="00E8254E" w:rsidP="002102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09-03-2017</w:t>
            </w:r>
          </w:p>
        </w:tc>
        <w:tc>
          <w:tcPr>
            <w:tcW w:w="1275" w:type="dxa"/>
          </w:tcPr>
          <w:p w:rsidR="009C7AAF" w:rsidRPr="00D1098A" w:rsidRDefault="009C7AAF" w:rsidP="0021021C">
            <w:pPr>
              <w:jc w:val="right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/>
                <w:lang w:val="en-US"/>
              </w:rPr>
              <w:t>Location:</w:t>
            </w:r>
          </w:p>
        </w:tc>
        <w:tc>
          <w:tcPr>
            <w:tcW w:w="4385" w:type="dxa"/>
          </w:tcPr>
          <w:p w:rsidR="009C7AAF" w:rsidRPr="00D1098A" w:rsidRDefault="009C7AAF" w:rsidP="0021021C">
            <w:pPr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lang w:val="en-US"/>
              </w:rPr>
              <w:t xml:space="preserve">B BNPP PF, </w:t>
            </w:r>
            <w:proofErr w:type="spellStart"/>
            <w:r w:rsidRPr="00D1098A">
              <w:rPr>
                <w:rFonts w:ascii="Arial" w:hAnsi="Arial" w:cs="Arial"/>
                <w:lang w:val="en-US"/>
              </w:rPr>
              <w:t>Lisboa</w:t>
            </w:r>
            <w:proofErr w:type="spellEnd"/>
          </w:p>
        </w:tc>
      </w:tr>
      <w:tr w:rsidR="00607517" w:rsidRPr="003E4859" w:rsidTr="009C7AAF">
        <w:tc>
          <w:tcPr>
            <w:tcW w:w="1418" w:type="dxa"/>
          </w:tcPr>
          <w:p w:rsidR="00607517" w:rsidRPr="00D1098A" w:rsidRDefault="009C7AAF" w:rsidP="0021021C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D1098A">
              <w:rPr>
                <w:rFonts w:ascii="Arial" w:hAnsi="Arial" w:cs="Arial"/>
                <w:b/>
                <w:lang w:val="en-US"/>
              </w:rPr>
              <w:t>Objective:</w:t>
            </w:r>
          </w:p>
        </w:tc>
        <w:tc>
          <w:tcPr>
            <w:tcW w:w="8637" w:type="dxa"/>
            <w:gridSpan w:val="3"/>
          </w:tcPr>
          <w:p w:rsidR="00607517" w:rsidRPr="00D1098A" w:rsidRDefault="00C444E9" w:rsidP="002102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Review the </w:t>
            </w:r>
            <w:r w:rsidR="00FA6B9E">
              <w:rPr>
                <w:rFonts w:ascii="Arial" w:hAnsi="Arial" w:cs="Arial"/>
                <w:lang w:val="en-US"/>
              </w:rPr>
              <w:t>Service</w:t>
            </w:r>
            <w:r>
              <w:rPr>
                <w:rFonts w:ascii="Arial" w:hAnsi="Arial" w:cs="Arial"/>
                <w:lang w:val="en-US"/>
              </w:rPr>
              <w:t xml:space="preserve"> Contract </w:t>
            </w:r>
            <w:r w:rsidR="00965311">
              <w:rPr>
                <w:rFonts w:ascii="Arial" w:hAnsi="Arial" w:cs="Arial"/>
                <w:lang w:val="en-US"/>
              </w:rPr>
              <w:t xml:space="preserve">and KPI’s </w:t>
            </w:r>
            <w:r>
              <w:rPr>
                <w:rFonts w:ascii="Arial" w:hAnsi="Arial" w:cs="Arial"/>
                <w:lang w:val="en-US"/>
              </w:rPr>
              <w:t>with the supplier</w:t>
            </w:r>
          </w:p>
        </w:tc>
      </w:tr>
      <w:tr w:rsidR="003E5E82" w:rsidRPr="00D1098A" w:rsidTr="003E5E82">
        <w:tc>
          <w:tcPr>
            <w:tcW w:w="1418" w:type="dxa"/>
          </w:tcPr>
          <w:p w:rsidR="003E5E82" w:rsidRPr="00D1098A" w:rsidRDefault="003E5E82" w:rsidP="0021021C">
            <w:pPr>
              <w:jc w:val="right"/>
              <w:rPr>
                <w:rFonts w:ascii="Arial" w:hAnsi="Arial" w:cs="Arial"/>
                <w:b/>
                <w:lang w:val="en-US"/>
              </w:rPr>
            </w:pPr>
            <w:r w:rsidRPr="00D1098A">
              <w:rPr>
                <w:rFonts w:ascii="Arial" w:hAnsi="Arial" w:cs="Arial"/>
                <w:b/>
                <w:lang w:val="en-US"/>
              </w:rPr>
              <w:t>Attendees:</w:t>
            </w:r>
          </w:p>
        </w:tc>
        <w:tc>
          <w:tcPr>
            <w:tcW w:w="2977" w:type="dxa"/>
          </w:tcPr>
          <w:p w:rsidR="003E5E82" w:rsidRPr="00800459" w:rsidRDefault="003E5E82" w:rsidP="00800459">
            <w:pPr>
              <w:spacing w:after="40"/>
              <w:rPr>
                <w:rFonts w:ascii="Arial" w:hAnsi="Arial" w:cs="Arial"/>
                <w:i/>
                <w:u w:val="single"/>
              </w:rPr>
            </w:pPr>
            <w:r w:rsidRPr="00800459">
              <w:rPr>
                <w:rFonts w:ascii="Arial" w:hAnsi="Arial" w:cs="Arial"/>
                <w:i/>
                <w:u w:val="single"/>
              </w:rPr>
              <w:t>B BNPP PF</w:t>
            </w:r>
          </w:p>
          <w:p w:rsidR="003E5E82" w:rsidRPr="00661285" w:rsidRDefault="003E5E82" w:rsidP="00800459">
            <w:pPr>
              <w:spacing w:after="40"/>
              <w:rPr>
                <w:rFonts w:ascii="Arial" w:hAnsi="Arial" w:cs="Arial"/>
              </w:rPr>
            </w:pPr>
            <w:r w:rsidRPr="00661285">
              <w:rPr>
                <w:rFonts w:ascii="Arial" w:hAnsi="Arial" w:cs="Arial"/>
              </w:rPr>
              <w:t>Carlos Camões</w:t>
            </w:r>
          </w:p>
          <w:p w:rsidR="003E5E82" w:rsidRPr="00661285" w:rsidRDefault="003E5E82" w:rsidP="00800459">
            <w:pPr>
              <w:spacing w:after="40"/>
              <w:rPr>
                <w:rFonts w:ascii="Arial" w:hAnsi="Arial" w:cs="Arial"/>
              </w:rPr>
            </w:pPr>
            <w:r w:rsidRPr="00661285">
              <w:rPr>
                <w:rFonts w:ascii="Arial" w:hAnsi="Arial" w:cs="Arial"/>
              </w:rPr>
              <w:t>Jerome Begorre</w:t>
            </w:r>
          </w:p>
          <w:p w:rsidR="003E5E82" w:rsidRPr="00D1098A" w:rsidRDefault="003E5E82" w:rsidP="00800459">
            <w:pPr>
              <w:spacing w:after="40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lang w:val="en-US"/>
              </w:rPr>
              <w:t>Sofia Oliveira</w:t>
            </w:r>
          </w:p>
        </w:tc>
        <w:tc>
          <w:tcPr>
            <w:tcW w:w="5660" w:type="dxa"/>
            <w:gridSpan w:val="2"/>
          </w:tcPr>
          <w:p w:rsidR="00FF41AC" w:rsidRPr="00800459" w:rsidRDefault="00FF41AC" w:rsidP="00800459">
            <w:pPr>
              <w:spacing w:after="40"/>
              <w:rPr>
                <w:rFonts w:ascii="Arial" w:hAnsi="Arial" w:cs="Arial"/>
                <w:i/>
                <w:u w:val="single"/>
              </w:rPr>
            </w:pPr>
            <w:r w:rsidRPr="00800459">
              <w:rPr>
                <w:rFonts w:ascii="Arial" w:hAnsi="Arial" w:cs="Arial"/>
                <w:i/>
                <w:u w:val="single"/>
              </w:rPr>
              <w:t>SIBS Cartões</w:t>
            </w:r>
          </w:p>
          <w:p w:rsidR="003E5E82" w:rsidRPr="00661285" w:rsidRDefault="00FF41AC" w:rsidP="00800459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João Antunes</w:t>
            </w:r>
          </w:p>
          <w:p w:rsidR="003E5E82" w:rsidRPr="00661285" w:rsidRDefault="00FF41AC" w:rsidP="00800459">
            <w:pPr>
              <w:spacing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Luís Condeço</w:t>
            </w:r>
          </w:p>
        </w:tc>
      </w:tr>
    </w:tbl>
    <w:p w:rsidR="00607517" w:rsidRPr="00661285" w:rsidRDefault="00607517" w:rsidP="0021021C">
      <w:pPr>
        <w:spacing w:after="0" w:line="240" w:lineRule="auto"/>
        <w:rPr>
          <w:rFonts w:ascii="Arial" w:hAnsi="Arial" w:cs="Arial"/>
        </w:rPr>
      </w:pPr>
    </w:p>
    <w:p w:rsidR="00607517" w:rsidRPr="00D1098A" w:rsidRDefault="00607517" w:rsidP="0021021C">
      <w:pPr>
        <w:pBdr>
          <w:bottom w:val="single" w:sz="12" w:space="1" w:color="008080"/>
        </w:pBdr>
        <w:spacing w:after="0" w:line="240" w:lineRule="auto"/>
        <w:rPr>
          <w:rFonts w:ascii="Arial" w:hAnsi="Arial" w:cs="Arial"/>
          <w:b/>
          <w:color w:val="008080"/>
          <w:lang w:val="en-US"/>
        </w:rPr>
      </w:pPr>
      <w:r w:rsidRPr="00D1098A">
        <w:rPr>
          <w:rFonts w:ascii="Arial" w:hAnsi="Arial" w:cs="Arial"/>
          <w:b/>
          <w:color w:val="008080"/>
          <w:lang w:val="en-US"/>
        </w:rPr>
        <w:t>Agenda</w:t>
      </w:r>
    </w:p>
    <w:p w:rsidR="00767C3A" w:rsidRPr="00EE24E7" w:rsidRDefault="00690742" w:rsidP="0021021C">
      <w:pPr>
        <w:pStyle w:val="ListParagraph"/>
        <w:numPr>
          <w:ilvl w:val="0"/>
          <w:numId w:val="6"/>
        </w:numPr>
        <w:spacing w:before="120" w:after="0" w:line="240" w:lineRule="auto"/>
        <w:ind w:left="357" w:hanging="35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Service</w:t>
      </w:r>
      <w:r w:rsidR="00767C3A" w:rsidRPr="00EE24E7">
        <w:rPr>
          <w:rFonts w:ascii="Arial" w:hAnsi="Arial" w:cs="Arial"/>
          <w:b/>
          <w:bCs/>
          <w:sz w:val="20"/>
          <w:szCs w:val="20"/>
          <w:lang w:val="en-US"/>
        </w:rPr>
        <w:t xml:space="preserve"> Contract</w:t>
      </w:r>
    </w:p>
    <w:p w:rsidR="00767C3A" w:rsidRPr="00EE24E7" w:rsidRDefault="00767C3A" w:rsidP="0021021C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EE24E7">
        <w:rPr>
          <w:rFonts w:ascii="Arial" w:hAnsi="Arial" w:cs="Arial"/>
          <w:sz w:val="20"/>
          <w:szCs w:val="20"/>
          <w:lang w:val="en-US"/>
        </w:rPr>
        <w:t>SLA</w:t>
      </w:r>
      <w:r w:rsidR="00DD0E54">
        <w:rPr>
          <w:rFonts w:ascii="Arial" w:hAnsi="Arial" w:cs="Arial"/>
          <w:sz w:val="20"/>
          <w:szCs w:val="20"/>
          <w:lang w:val="en-US"/>
        </w:rPr>
        <w:t xml:space="preserve"> and KPI’s</w:t>
      </w:r>
    </w:p>
    <w:p w:rsidR="00767C3A" w:rsidRPr="00EE24E7" w:rsidRDefault="00F96F7D" w:rsidP="0021021C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EE24E7">
        <w:rPr>
          <w:rFonts w:ascii="Arial" w:hAnsi="Arial" w:cs="Arial"/>
          <w:sz w:val="20"/>
          <w:szCs w:val="20"/>
          <w:lang w:val="en-US"/>
        </w:rPr>
        <w:t>Governance</w:t>
      </w:r>
    </w:p>
    <w:p w:rsidR="00F73E6A" w:rsidRPr="00EE24E7" w:rsidRDefault="00F73E6A" w:rsidP="0021021C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EE24E7">
        <w:rPr>
          <w:rFonts w:ascii="Arial" w:hAnsi="Arial" w:cs="Arial"/>
          <w:sz w:val="20"/>
          <w:szCs w:val="20"/>
          <w:lang w:val="en-US"/>
        </w:rPr>
        <w:t xml:space="preserve">Include mandatory clauses regarding </w:t>
      </w:r>
      <w:r w:rsidR="004B3768" w:rsidRPr="00EE24E7">
        <w:rPr>
          <w:rFonts w:ascii="Arial" w:hAnsi="Arial" w:cs="Arial"/>
          <w:sz w:val="20"/>
          <w:szCs w:val="20"/>
          <w:lang w:val="en-US"/>
        </w:rPr>
        <w:t xml:space="preserve">French Regulation CRBF 97-02 </w:t>
      </w:r>
      <w:r w:rsidRPr="00EE24E7">
        <w:rPr>
          <w:rFonts w:ascii="Arial" w:hAnsi="Arial" w:cs="Arial"/>
          <w:sz w:val="20"/>
          <w:szCs w:val="20"/>
          <w:lang w:val="en-US"/>
        </w:rPr>
        <w:t>(PSE)</w:t>
      </w:r>
      <w:r w:rsidR="004B290F">
        <w:rPr>
          <w:rFonts w:ascii="Arial" w:hAnsi="Arial" w:cs="Arial"/>
          <w:sz w:val="20"/>
          <w:szCs w:val="20"/>
          <w:lang w:val="en-US"/>
        </w:rPr>
        <w:t xml:space="preserve"> and SIBS Cartões </w:t>
      </w:r>
      <w:r w:rsidR="002870BC">
        <w:rPr>
          <w:rFonts w:ascii="Arial" w:hAnsi="Arial" w:cs="Arial"/>
          <w:sz w:val="20"/>
          <w:szCs w:val="20"/>
          <w:lang w:val="en-US"/>
        </w:rPr>
        <w:t>Business Continuity Plan (</w:t>
      </w:r>
      <w:r w:rsidR="004B290F">
        <w:rPr>
          <w:rFonts w:ascii="Arial" w:hAnsi="Arial" w:cs="Arial"/>
          <w:sz w:val="20"/>
          <w:szCs w:val="20"/>
          <w:lang w:val="en-US"/>
        </w:rPr>
        <w:t>PCA</w:t>
      </w:r>
      <w:r w:rsidR="002870BC">
        <w:rPr>
          <w:rFonts w:ascii="Arial" w:hAnsi="Arial" w:cs="Arial"/>
          <w:sz w:val="20"/>
          <w:szCs w:val="20"/>
          <w:lang w:val="en-US"/>
        </w:rPr>
        <w:t>)</w:t>
      </w:r>
    </w:p>
    <w:p w:rsidR="00EE24E7" w:rsidRDefault="00EE24E7" w:rsidP="0021021C">
      <w:pPr>
        <w:spacing w:after="0" w:line="240" w:lineRule="auto"/>
        <w:rPr>
          <w:rFonts w:ascii="Arial" w:hAnsi="Arial" w:cs="Arial"/>
          <w:lang w:val="en-US"/>
        </w:rPr>
      </w:pPr>
    </w:p>
    <w:p w:rsidR="00767C3A" w:rsidRPr="00D1098A" w:rsidRDefault="009C7AAF" w:rsidP="0021021C">
      <w:pPr>
        <w:pBdr>
          <w:bottom w:val="single" w:sz="12" w:space="1" w:color="008080"/>
        </w:pBdr>
        <w:spacing w:after="0" w:line="240" w:lineRule="auto"/>
        <w:rPr>
          <w:rFonts w:ascii="Arial" w:hAnsi="Arial" w:cs="Arial"/>
          <w:b/>
          <w:color w:val="008080"/>
          <w:lang w:val="en-US"/>
        </w:rPr>
      </w:pPr>
      <w:r w:rsidRPr="00D1098A">
        <w:rPr>
          <w:rFonts w:ascii="Arial" w:hAnsi="Arial" w:cs="Arial"/>
          <w:b/>
          <w:color w:val="008080"/>
          <w:lang w:val="en-US"/>
        </w:rPr>
        <w:t>Additional</w:t>
      </w:r>
      <w:r w:rsidR="00607517" w:rsidRPr="00D1098A">
        <w:rPr>
          <w:rFonts w:ascii="Arial" w:hAnsi="Arial" w:cs="Arial"/>
          <w:b/>
          <w:color w:val="008080"/>
          <w:lang w:val="en-US"/>
        </w:rPr>
        <w:t xml:space="preserve"> Information</w:t>
      </w:r>
    </w:p>
    <w:p w:rsidR="006D0A83" w:rsidRPr="006D0A83" w:rsidRDefault="006D0A83" w:rsidP="0021021C">
      <w:pPr>
        <w:pStyle w:val="ListParagraph"/>
        <w:numPr>
          <w:ilvl w:val="0"/>
          <w:numId w:val="2"/>
        </w:numPr>
        <w:spacing w:before="120" w:after="0" w:line="240" w:lineRule="auto"/>
        <w:ind w:left="357" w:hanging="357"/>
        <w:rPr>
          <w:rFonts w:ascii="Arial" w:hAnsi="Arial" w:cs="Arial"/>
          <w:b/>
          <w:sz w:val="20"/>
          <w:szCs w:val="20"/>
          <w:lang w:val="en-US"/>
        </w:rPr>
      </w:pPr>
      <w:r w:rsidRPr="006D0A83">
        <w:rPr>
          <w:rFonts w:ascii="Arial" w:hAnsi="Arial" w:cs="Arial"/>
          <w:b/>
          <w:bCs/>
          <w:sz w:val="20"/>
          <w:szCs w:val="20"/>
          <w:lang w:val="en-US"/>
        </w:rPr>
        <w:t>Support &amp; Maintenance Contract</w:t>
      </w:r>
    </w:p>
    <w:p w:rsidR="006D0A83" w:rsidRPr="006D0A83" w:rsidRDefault="006D0A83" w:rsidP="0021021C">
      <w:pPr>
        <w:pStyle w:val="ListParagraph"/>
        <w:spacing w:after="0" w:line="240" w:lineRule="auto"/>
        <w:ind w:left="360"/>
        <w:rPr>
          <w:rFonts w:ascii="Arial" w:hAnsi="Arial" w:cs="Arial"/>
          <w:b/>
          <w:sz w:val="20"/>
          <w:szCs w:val="20"/>
          <w:lang w:val="en-US"/>
        </w:rPr>
      </w:pPr>
    </w:p>
    <w:p w:rsidR="006D0A83" w:rsidRPr="006D0A83" w:rsidRDefault="006D0A83" w:rsidP="0021021C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 w:rsidRPr="006D0A83">
        <w:rPr>
          <w:rFonts w:ascii="Arial" w:hAnsi="Arial" w:cs="Arial"/>
          <w:bCs/>
          <w:i/>
          <w:sz w:val="20"/>
          <w:szCs w:val="20"/>
          <w:lang w:val="en-US"/>
        </w:rPr>
        <w:t>Service Scope</w:t>
      </w:r>
    </w:p>
    <w:p w:rsidR="006D0A83" w:rsidRDefault="006D0A83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6D0A83" w:rsidRPr="00513950" w:rsidRDefault="006D0A83" w:rsidP="0021021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sz w:val="20"/>
          <w:szCs w:val="20"/>
          <w:lang w:val="en-US"/>
        </w:rPr>
      </w:pPr>
      <w:r w:rsidRPr="00513950">
        <w:rPr>
          <w:rFonts w:ascii="Arial" w:hAnsi="Arial" w:cs="Arial"/>
          <w:bCs/>
          <w:sz w:val="20"/>
          <w:szCs w:val="20"/>
          <w:lang w:val="en-US"/>
        </w:rPr>
        <w:t>Plastic card production</w:t>
      </w:r>
      <w:r w:rsidR="0021021C">
        <w:rPr>
          <w:rFonts w:ascii="Arial" w:hAnsi="Arial" w:cs="Arial"/>
          <w:sz w:val="20"/>
          <w:szCs w:val="20"/>
          <w:lang w:val="en-US"/>
        </w:rPr>
        <w:t xml:space="preserve"> 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(A</w:t>
      </w:r>
      <w:r w:rsidRPr="00513950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nnex I.A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6D0A83" w:rsidRPr="00513950" w:rsidRDefault="006D0A83" w:rsidP="0021021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bCs/>
          <w:color w:val="000000"/>
          <w:sz w:val="20"/>
          <w:szCs w:val="20"/>
          <w:lang w:val="en-US"/>
        </w:rPr>
        <w:t>Card embossing and related services</w:t>
      </w:r>
      <w:r w:rsidRPr="0051395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I.B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6D0A83" w:rsidRPr="00513950" w:rsidRDefault="006D0A83" w:rsidP="0021021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Carrier cards and PIN letters personalization 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I.C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6D0A83" w:rsidRPr="00513950" w:rsidRDefault="006D0A83" w:rsidP="0021021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Card enveloping and expedition 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I.D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6D0A83" w:rsidRPr="00513950" w:rsidRDefault="006D0A83" w:rsidP="0021021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Packaging of cards and PIN letters 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I.E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6D0A83" w:rsidRPr="00513950" w:rsidRDefault="006D0A83" w:rsidP="0021021C">
      <w:pPr>
        <w:pStyle w:val="ListParagraph"/>
        <w:numPr>
          <w:ilvl w:val="0"/>
          <w:numId w:val="16"/>
        </w:numPr>
        <w:spacing w:after="0" w:line="240" w:lineRule="auto"/>
        <w:contextualSpacing w:val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Delivery of information 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I.F</w:t>
      </w:r>
      <w:r w:rsidR="0021021C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6D0A83" w:rsidRDefault="006D0A83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700A4A" w:rsidRPr="006D0A83" w:rsidRDefault="00700A4A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6D0A83" w:rsidRPr="007272F4" w:rsidRDefault="006D0A83" w:rsidP="0021021C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SLA</w:t>
      </w:r>
    </w:p>
    <w:p w:rsidR="007272F4" w:rsidRPr="007272F4" w:rsidRDefault="007272F4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7272F4" w:rsidRPr="006D0A83" w:rsidRDefault="007272F4" w:rsidP="0021021C">
      <w:pPr>
        <w:pStyle w:val="ListParagraph"/>
        <w:numPr>
          <w:ilvl w:val="2"/>
          <w:numId w:val="15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Existing cards</w:t>
      </w:r>
    </w:p>
    <w:p w:rsidR="00F1380B" w:rsidRPr="008E4E4F" w:rsidRDefault="000A31A6" w:rsidP="0021021C">
      <w:pPr>
        <w:pStyle w:val="ListParagraph"/>
        <w:spacing w:after="0" w:line="240" w:lineRule="auto"/>
        <w:ind w:left="0" w:firstLine="708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II, page 25</w:t>
      </w:r>
    </w:p>
    <w:tbl>
      <w:tblPr>
        <w:tblW w:w="9497" w:type="dxa"/>
        <w:tblInd w:w="41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693"/>
      </w:tblGrid>
      <w:tr w:rsidR="00E8254E" w:rsidRPr="007272F4" w:rsidTr="0072568C">
        <w:trPr>
          <w:trHeight w:val="276"/>
        </w:trPr>
        <w:tc>
          <w:tcPr>
            <w:tcW w:w="226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E8254E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</w:rPr>
            </w:pPr>
          </w:p>
        </w:tc>
        <w:tc>
          <w:tcPr>
            <w:tcW w:w="226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E8254E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Urgent Production</w:t>
            </w:r>
            <w:r w:rsidR="006D0A83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E8254E" w:rsidRPr="007272F4" w:rsidRDefault="00E8254E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Daily Production</w:t>
            </w:r>
            <w:r w:rsidR="006D0A83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E8254E" w:rsidRPr="007272F4" w:rsidRDefault="00E8254E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Large Production</w:t>
            </w:r>
            <w:r w:rsidR="006D0A83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</w:t>
            </w:r>
            <w:r w:rsidR="008508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(renewals)</w:t>
            </w:r>
          </w:p>
        </w:tc>
      </w:tr>
      <w:tr w:rsidR="00E8254E" w:rsidRPr="007272F4" w:rsidTr="0072568C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F1380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Quantities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until</w:t>
            </w:r>
            <w:r w:rsidR="00E8254E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.</w:t>
            </w:r>
            <w:r w:rsidR="00E8254E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000 cards</w:t>
            </w:r>
          </w:p>
        </w:tc>
        <w:tc>
          <w:tcPr>
            <w:tcW w:w="2268" w:type="dxa"/>
            <w:vAlign w:val="center"/>
          </w:tcPr>
          <w:p w:rsidR="00E8254E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until</w:t>
            </w:r>
            <w:r w:rsidR="00E8254E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3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.</w:t>
            </w:r>
            <w:r w:rsidR="00E8254E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000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cards</w:t>
            </w:r>
          </w:p>
        </w:tc>
        <w:tc>
          <w:tcPr>
            <w:tcW w:w="2693" w:type="dxa"/>
            <w:vAlign w:val="center"/>
          </w:tcPr>
          <w:p w:rsidR="00E8254E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more than</w:t>
            </w:r>
            <w:r w:rsidR="00E8254E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15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.</w:t>
            </w:r>
            <w:r w:rsidR="00E8254E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000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cards</w:t>
            </w:r>
          </w:p>
        </w:tc>
      </w:tr>
      <w:tr w:rsidR="00E8254E" w:rsidRPr="007272F4" w:rsidTr="0072568C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7E368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SLA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for card delivery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3 hours</w:t>
            </w:r>
          </w:p>
        </w:tc>
        <w:tc>
          <w:tcPr>
            <w:tcW w:w="2268" w:type="dxa"/>
            <w:vAlign w:val="center"/>
          </w:tcPr>
          <w:p w:rsidR="00E8254E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 + 1</w:t>
            </w:r>
          </w:p>
        </w:tc>
        <w:tc>
          <w:tcPr>
            <w:tcW w:w="2693" w:type="dxa"/>
            <w:vAlign w:val="center"/>
          </w:tcPr>
          <w:p w:rsidR="00E8254E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Letter: D+1</w:t>
            </w:r>
          </w:p>
          <w:p w:rsidR="007E368B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 : 1 week</w:t>
            </w:r>
          </w:p>
        </w:tc>
      </w:tr>
      <w:tr w:rsidR="00E8254E" w:rsidRPr="007272F4" w:rsidTr="0072568C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7E368B" w:rsidP="000A31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Working day </w:t>
            </w:r>
            <w:r w:rsidR="000A31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max 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production 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-</w:t>
            </w:r>
          </w:p>
        </w:tc>
        <w:tc>
          <w:tcPr>
            <w:tcW w:w="2268" w:type="dxa"/>
            <w:vAlign w:val="center"/>
          </w:tcPr>
          <w:p w:rsidR="00E8254E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3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.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000 cards</w:t>
            </w:r>
          </w:p>
        </w:tc>
        <w:tc>
          <w:tcPr>
            <w:tcW w:w="2693" w:type="dxa"/>
            <w:vAlign w:val="center"/>
          </w:tcPr>
          <w:p w:rsidR="00E8254E" w:rsidRPr="007272F4" w:rsidRDefault="007E368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7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.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500 cards</w:t>
            </w:r>
          </w:p>
        </w:tc>
      </w:tr>
      <w:tr w:rsidR="007E368B" w:rsidRPr="007272F4" w:rsidTr="0072568C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68B" w:rsidRPr="007272F4" w:rsidRDefault="007E368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File size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until 1.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00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cards</w:t>
            </w:r>
          </w:p>
        </w:tc>
        <w:tc>
          <w:tcPr>
            <w:tcW w:w="2268" w:type="dxa"/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until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3</w:t>
            </w:r>
            <w:r w:rsidR="00A608F2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.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000 cards</w:t>
            </w:r>
          </w:p>
        </w:tc>
        <w:tc>
          <w:tcPr>
            <w:tcW w:w="2693" w:type="dxa"/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until 5.000 cards</w:t>
            </w:r>
          </w:p>
        </w:tc>
      </w:tr>
      <w:tr w:rsidR="007E368B" w:rsidRPr="007272F4" w:rsidTr="0072568C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68B" w:rsidRPr="007272F4" w:rsidRDefault="007E368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File reception hour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68B" w:rsidRPr="007272F4" w:rsidRDefault="00455945" w:rsidP="00B463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rom 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6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:00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to 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17:00</w:t>
            </w:r>
          </w:p>
        </w:tc>
        <w:tc>
          <w:tcPr>
            <w:tcW w:w="2268" w:type="dxa"/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ntil 06:00</w:t>
            </w:r>
          </w:p>
        </w:tc>
        <w:tc>
          <w:tcPr>
            <w:tcW w:w="2693" w:type="dxa"/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u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ntil 16:00</w:t>
            </w:r>
          </w:p>
        </w:tc>
      </w:tr>
      <w:tr w:rsidR="007E368B" w:rsidRPr="007272F4" w:rsidTr="0072568C"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68B" w:rsidRPr="007272F4" w:rsidRDefault="007E368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 delivery hour</w:t>
            </w: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68B" w:rsidRPr="007272F4" w:rsidRDefault="00455945" w:rsidP="00B463D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</w:t>
            </w:r>
            <w:r w:rsidR="007E368B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rom 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09:00 to 20:00</w:t>
            </w:r>
          </w:p>
        </w:tc>
        <w:tc>
          <w:tcPr>
            <w:tcW w:w="2268" w:type="dxa"/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</w:t>
            </w:r>
            <w:r w:rsidR="00FE17CC"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fter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18:00</w:t>
            </w:r>
          </w:p>
        </w:tc>
        <w:tc>
          <w:tcPr>
            <w:tcW w:w="2693" w:type="dxa"/>
            <w:vAlign w:val="center"/>
          </w:tcPr>
          <w:p w:rsidR="007E368B" w:rsidRPr="007272F4" w:rsidRDefault="00455945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</w:t>
            </w:r>
            <w:r w:rsidR="00B463D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fter 18:00</w:t>
            </w:r>
          </w:p>
        </w:tc>
      </w:tr>
      <w:tr w:rsidR="00E8254E" w:rsidRPr="003E4859" w:rsidTr="0072568C">
        <w:trPr>
          <w:trHeight w:val="450"/>
        </w:trPr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254E" w:rsidRPr="007272F4" w:rsidRDefault="007E368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Penalties</w:t>
            </w:r>
          </w:p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8254E" w:rsidRPr="007272F4" w:rsidRDefault="00FE17CC" w:rsidP="000A31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5% of personalization cost for each hour of delay (</w:t>
            </w:r>
            <w:r w:rsidR="000A31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max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100%)</w:t>
            </w:r>
          </w:p>
        </w:tc>
        <w:tc>
          <w:tcPr>
            <w:tcW w:w="2268" w:type="dxa"/>
            <w:vAlign w:val="center"/>
          </w:tcPr>
          <w:p w:rsidR="00E8254E" w:rsidRPr="007272F4" w:rsidRDefault="00FE17CC" w:rsidP="000A31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5% of personalization cost for each day of delay (</w:t>
            </w:r>
            <w:r w:rsidR="000A31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max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100%)</w:t>
            </w:r>
          </w:p>
        </w:tc>
        <w:tc>
          <w:tcPr>
            <w:tcW w:w="2693" w:type="dxa"/>
            <w:vAlign w:val="center"/>
          </w:tcPr>
          <w:p w:rsidR="00E8254E" w:rsidRPr="007272F4" w:rsidRDefault="00FE17CC" w:rsidP="000A31A6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5% of personalization cost for each week of delay (</w:t>
            </w:r>
            <w:r w:rsidR="000A31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max</w:t>
            </w:r>
            <w:r w:rsidRPr="007272F4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100%)</w:t>
            </w:r>
          </w:p>
        </w:tc>
      </w:tr>
    </w:tbl>
    <w:p w:rsidR="00D572C3" w:rsidRPr="00FE17CC" w:rsidRDefault="00D572C3" w:rsidP="0021021C">
      <w:pPr>
        <w:spacing w:after="0" w:line="240" w:lineRule="auto"/>
        <w:ind w:left="357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B77A8A" w:rsidRPr="00EE24E7" w:rsidRDefault="00A608F2" w:rsidP="006868C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 xml:space="preserve">For daily productions, in order meet the SLA, SIBS Cartões must receive the files until </w:t>
      </w:r>
      <w:r w:rsidR="00B463D5">
        <w:rPr>
          <w:rFonts w:ascii="Arial" w:hAnsi="Arial" w:cs="Arial"/>
          <w:color w:val="000000"/>
          <w:sz w:val="20"/>
          <w:szCs w:val="20"/>
          <w:lang w:val="en-US"/>
        </w:rPr>
        <w:t>0</w:t>
      </w:r>
      <w:r>
        <w:rPr>
          <w:rFonts w:ascii="Arial" w:hAnsi="Arial" w:cs="Arial"/>
          <w:color w:val="000000"/>
          <w:sz w:val="20"/>
          <w:szCs w:val="20"/>
          <w:lang w:val="en-US"/>
        </w:rPr>
        <w:t>6</w:t>
      </w:r>
      <w:r w:rsidR="00B463D5">
        <w:rPr>
          <w:rFonts w:ascii="Arial" w:hAnsi="Arial" w:cs="Arial"/>
          <w:color w:val="000000"/>
          <w:sz w:val="20"/>
          <w:szCs w:val="20"/>
          <w:lang w:val="en-US"/>
        </w:rPr>
        <w:t>:00 a.m.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of day D (working days)</w:t>
      </w:r>
      <w:r w:rsidR="00783A13" w:rsidRPr="00EE24E7">
        <w:rPr>
          <w:rFonts w:ascii="Arial" w:hAnsi="Arial" w:cs="Arial"/>
          <w:color w:val="000000"/>
          <w:sz w:val="20"/>
          <w:szCs w:val="20"/>
          <w:lang w:val="en-US"/>
        </w:rPr>
        <w:t>;</w:t>
      </w:r>
    </w:p>
    <w:p w:rsidR="00A608F2" w:rsidRDefault="00A608F2" w:rsidP="006868C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For large productions, in order to meet the SLA, PF must inform SIBS Cartões 15 days in advance</w:t>
      </w:r>
      <w:r w:rsidR="00467D44">
        <w:rPr>
          <w:rFonts w:ascii="Arial" w:hAnsi="Arial" w:cs="Arial"/>
          <w:color w:val="000000"/>
          <w:sz w:val="20"/>
          <w:szCs w:val="20"/>
          <w:lang w:val="en-US"/>
        </w:rPr>
        <w:t xml:space="preserve"> of the expected quantities</w:t>
      </w:r>
      <w:r w:rsidRPr="00EE24E7">
        <w:rPr>
          <w:rFonts w:ascii="Arial" w:hAnsi="Arial" w:cs="Arial"/>
          <w:color w:val="000000"/>
          <w:sz w:val="20"/>
          <w:szCs w:val="20"/>
          <w:lang w:val="en-US"/>
        </w:rPr>
        <w:t>;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SIBS Cartões has a production capacity of 100.000 cards a week.</w:t>
      </w:r>
    </w:p>
    <w:p w:rsidR="00B463D5" w:rsidRDefault="00467D44" w:rsidP="006868C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The accomplishment</w:t>
      </w:r>
      <w:r w:rsidRPr="00467D4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o</w:t>
      </w:r>
      <w:r w:rsidRPr="00467D44">
        <w:rPr>
          <w:rFonts w:ascii="Arial" w:hAnsi="Arial" w:cs="Arial"/>
          <w:color w:val="000000"/>
          <w:sz w:val="20"/>
          <w:szCs w:val="20"/>
          <w:lang w:val="en-US"/>
        </w:rPr>
        <w:t xml:space="preserve">f these </w:t>
      </w:r>
      <w:r>
        <w:rPr>
          <w:rFonts w:ascii="Arial" w:hAnsi="Arial" w:cs="Arial"/>
          <w:color w:val="000000"/>
          <w:sz w:val="20"/>
          <w:szCs w:val="20"/>
          <w:lang w:val="en-US"/>
        </w:rPr>
        <w:t>SLA</w:t>
      </w:r>
      <w:r w:rsidRPr="00467D44">
        <w:rPr>
          <w:rFonts w:ascii="Arial" w:hAnsi="Arial" w:cs="Arial"/>
          <w:color w:val="000000"/>
          <w:sz w:val="20"/>
          <w:szCs w:val="20"/>
          <w:lang w:val="en-US"/>
        </w:rPr>
        <w:t>, as well as th</w:t>
      </w:r>
      <w:bookmarkStart w:id="0" w:name="_GoBack"/>
      <w:bookmarkEnd w:id="0"/>
      <w:r w:rsidRPr="00467D44">
        <w:rPr>
          <w:rFonts w:ascii="Arial" w:hAnsi="Arial" w:cs="Arial"/>
          <w:color w:val="000000"/>
          <w:sz w:val="20"/>
          <w:szCs w:val="20"/>
          <w:lang w:val="en-US"/>
        </w:rPr>
        <w:t xml:space="preserve">e application of the penalties, requires annual planning and quarterly reviews of </w:t>
      </w:r>
      <w:r>
        <w:rPr>
          <w:rFonts w:ascii="Arial" w:hAnsi="Arial" w:cs="Arial"/>
          <w:color w:val="000000"/>
          <w:sz w:val="20"/>
          <w:szCs w:val="20"/>
          <w:lang w:val="en-US"/>
        </w:rPr>
        <w:t>cards issuing plans with PF.</w:t>
      </w:r>
    </w:p>
    <w:p w:rsidR="00B463D5" w:rsidRDefault="00B463D5" w:rsidP="00B463D5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06"/>
        <w:gridCol w:w="9055"/>
      </w:tblGrid>
      <w:tr w:rsidR="00B463D5" w:rsidRPr="003E4859" w:rsidTr="00B463D5">
        <w:tc>
          <w:tcPr>
            <w:tcW w:w="486" w:type="dxa"/>
            <w:vAlign w:val="center"/>
          </w:tcPr>
          <w:p w:rsidR="00B463D5" w:rsidRDefault="00B463D5" w:rsidP="00B463D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7CA41C70" wp14:editId="3EE3FEB5">
                  <wp:extent cx="252992" cy="219739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8693" cy="24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5" w:type="dxa"/>
            <w:vAlign w:val="center"/>
          </w:tcPr>
          <w:p w:rsidR="00B463D5" w:rsidRDefault="00B463D5" w:rsidP="00196886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The contract must define SLA’s for incident resolution, eventually categorized in incident </w:t>
            </w:r>
            <w:r w:rsidR="0019688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types</w:t>
            </w:r>
            <w:r w:rsidRPr="00B463D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B463D5" w:rsidRDefault="00B463D5" w:rsidP="00B463D5">
      <w:pPr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72F4" w:rsidRPr="00EE24E7" w:rsidRDefault="007272F4" w:rsidP="0021021C">
      <w:pPr>
        <w:pStyle w:val="ListParagraph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72F4" w:rsidRDefault="007272F4" w:rsidP="0021021C">
      <w:pPr>
        <w:pStyle w:val="ListParagraph"/>
        <w:numPr>
          <w:ilvl w:val="2"/>
          <w:numId w:val="15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New C</w:t>
      </w:r>
      <w:r w:rsidRPr="007272F4">
        <w:rPr>
          <w:rFonts w:ascii="Arial" w:hAnsi="Arial" w:cs="Arial"/>
          <w:i/>
          <w:sz w:val="20"/>
          <w:szCs w:val="20"/>
          <w:lang w:val="en-US"/>
        </w:rPr>
        <w:t>ards</w:t>
      </w:r>
    </w:p>
    <w:p w:rsidR="000A31A6" w:rsidRPr="008E4E4F" w:rsidRDefault="000A31A6" w:rsidP="000A31A6">
      <w:pPr>
        <w:pStyle w:val="ListParagraph"/>
        <w:spacing w:after="0" w:line="240" w:lineRule="auto"/>
        <w:ind w:left="360" w:firstLine="348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II, page 26</w:t>
      </w:r>
    </w:p>
    <w:p w:rsidR="007272F4" w:rsidRPr="007272F4" w:rsidRDefault="007272F4" w:rsidP="0021021C">
      <w:pPr>
        <w:pStyle w:val="ListParagraph"/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</w:p>
    <w:tbl>
      <w:tblPr>
        <w:tblW w:w="0" w:type="auto"/>
        <w:tblInd w:w="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1560"/>
        <w:gridCol w:w="1701"/>
      </w:tblGrid>
      <w:tr w:rsidR="007272F4" w:rsidRPr="007272F4" w:rsidTr="005500CB">
        <w:trPr>
          <w:trHeight w:val="264"/>
        </w:trPr>
        <w:tc>
          <w:tcPr>
            <w:tcW w:w="354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8E4E4F" w:rsidRDefault="007272F4" w:rsidP="005500C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 w:rsidRPr="008E4E4F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Task</w:t>
            </w:r>
          </w:p>
        </w:tc>
        <w:tc>
          <w:tcPr>
            <w:tcW w:w="156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7272F4" w:rsidP="005500C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Owner</w:t>
            </w:r>
          </w:p>
        </w:tc>
        <w:tc>
          <w:tcPr>
            <w:tcW w:w="170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vAlign w:val="center"/>
          </w:tcPr>
          <w:p w:rsidR="007272F4" w:rsidRDefault="007272F4" w:rsidP="005500C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Duration / SLA</w:t>
            </w:r>
            <w:r w:rsidR="005500CB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(</w:t>
            </w:r>
            <w:r w:rsidR="00BD1A65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working </w:t>
            </w: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days)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7272F4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Delivery of final graphic layouts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 BNPP PF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0B6EE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Preparation of the graphic image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SIBS Cartões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0B6EE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3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0B6EE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Approval of graphic image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 BNPP PF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0B6EE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5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0B6EE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Adjustments and corrections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SIBS Cartões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0B6EE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3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0B6EE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Final approval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B BNPP PF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0B6EE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5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0B6EE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Delivery of the image to the international brand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SIBS Cartões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0B6EE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1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0B6EEB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Approval of the card image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Visa / Mastercard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0B6EEB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10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7272F4" w:rsidP="0021021C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Card </w:t>
            </w:r>
            <w:r w:rsidR="008508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1</w:t>
            </w:r>
            <w:r w:rsidR="008508A6" w:rsidRPr="008508A6">
              <w:rPr>
                <w:rFonts w:ascii="Arial" w:hAnsi="Arial" w:cs="Arial"/>
                <w:color w:val="000000"/>
                <w:sz w:val="16"/>
                <w:szCs w:val="20"/>
                <w:vertAlign w:val="superscript"/>
                <w:lang w:val="en-US"/>
              </w:rPr>
              <w:t>st</w:t>
            </w:r>
            <w:r w:rsidR="008508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production (only magnetic stripe)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SIBS Cartões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7272F4" w:rsidRP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35</w:t>
            </w:r>
          </w:p>
        </w:tc>
      </w:tr>
      <w:tr w:rsidR="007272F4" w:rsidRPr="007272F4" w:rsidTr="005500CB">
        <w:tc>
          <w:tcPr>
            <w:tcW w:w="3543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Pr="007272F4" w:rsidRDefault="007272F4" w:rsidP="008508A6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</w:t>
            </w:r>
            <w:r w:rsidR="008508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1</w:t>
            </w:r>
            <w:r w:rsidR="008508A6" w:rsidRPr="008508A6">
              <w:rPr>
                <w:rFonts w:ascii="Arial" w:hAnsi="Arial" w:cs="Arial"/>
                <w:color w:val="000000"/>
                <w:sz w:val="16"/>
                <w:szCs w:val="20"/>
                <w:vertAlign w:val="superscript"/>
                <w:lang w:val="en-US"/>
              </w:rPr>
              <w:t>st</w:t>
            </w:r>
            <w:r w:rsidR="008508A6"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production (chip EMV)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SIBS Cartões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</w:tcPr>
          <w:p w:rsidR="007272F4" w:rsidRPr="007272F4" w:rsidRDefault="007272F4" w:rsidP="0021021C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42</w:t>
            </w:r>
          </w:p>
        </w:tc>
      </w:tr>
    </w:tbl>
    <w:p w:rsidR="008B6D45" w:rsidRDefault="008B6D45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7272F4" w:rsidRDefault="007272F4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E5126" w:rsidRDefault="00DE5126" w:rsidP="0021021C">
      <w:pPr>
        <w:pStyle w:val="ListParagraph"/>
        <w:numPr>
          <w:ilvl w:val="1"/>
          <w:numId w:val="18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i/>
          <w:sz w:val="20"/>
          <w:szCs w:val="20"/>
          <w:lang w:val="en-US"/>
        </w:rPr>
        <w:t>KPI’s</w:t>
      </w:r>
      <w:r w:rsidRPr="0052752D">
        <w:rPr>
          <w:rFonts w:ascii="Arial" w:hAnsi="Arial" w:cs="Arial"/>
          <w:i/>
          <w:sz w:val="20"/>
          <w:szCs w:val="20"/>
          <w:lang w:val="en-US"/>
        </w:rPr>
        <w:t xml:space="preserve"> </w:t>
      </w:r>
    </w:p>
    <w:p w:rsidR="00166E91" w:rsidRDefault="00166E91" w:rsidP="00166E91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DE5126" w:rsidRDefault="00BE64F4" w:rsidP="006868C1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DE5126">
        <w:rPr>
          <w:rFonts w:ascii="Arial" w:hAnsi="Arial" w:cs="Arial"/>
          <w:sz w:val="20"/>
          <w:szCs w:val="20"/>
          <w:lang w:val="en-US"/>
        </w:rPr>
        <w:t xml:space="preserve">he </w:t>
      </w:r>
      <w:r w:rsidR="00073B15">
        <w:rPr>
          <w:rFonts w:ascii="Arial" w:hAnsi="Arial" w:cs="Arial"/>
          <w:sz w:val="20"/>
          <w:szCs w:val="20"/>
          <w:lang w:val="en-US"/>
        </w:rPr>
        <w:t>supplier doesn’t deliver any reports about KPI’s.</w:t>
      </w:r>
      <w:r>
        <w:rPr>
          <w:rFonts w:ascii="Arial" w:hAnsi="Arial" w:cs="Arial"/>
          <w:sz w:val="20"/>
          <w:szCs w:val="20"/>
          <w:lang w:val="en-US"/>
        </w:rPr>
        <w:t xml:space="preserve"> The contract indicates that PF can obtain the performance indicators through the flat fi</w:t>
      </w:r>
      <w:r w:rsidR="000A3ADE">
        <w:rPr>
          <w:rFonts w:ascii="Arial" w:hAnsi="Arial" w:cs="Arial"/>
          <w:sz w:val="20"/>
          <w:szCs w:val="20"/>
          <w:lang w:val="en-US"/>
        </w:rPr>
        <w:t>les exchanged with SIBS Cartões or provided in SIBS Cartões Portal.</w:t>
      </w:r>
    </w:p>
    <w:p w:rsidR="00BE64F4" w:rsidRDefault="00BE64F4" w:rsidP="006868C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Card issue file: PF </w:t>
      </w:r>
      <w:r w:rsidRPr="00BE64F4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SIBS</w:t>
      </w:r>
      <w:r w:rsidR="000A3ADE">
        <w:rPr>
          <w:rFonts w:ascii="Arial" w:hAnsi="Arial" w:cs="Arial"/>
          <w:sz w:val="20"/>
          <w:szCs w:val="20"/>
          <w:lang w:val="en-US"/>
        </w:rPr>
        <w:t xml:space="preserve"> FPS </w:t>
      </w:r>
      <w:r w:rsidR="000A3ADE" w:rsidRPr="000A3ADE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0A3ADE">
        <w:rPr>
          <w:rFonts w:ascii="Arial" w:hAnsi="Arial" w:cs="Arial"/>
          <w:sz w:val="20"/>
          <w:szCs w:val="20"/>
          <w:lang w:val="en-US"/>
        </w:rPr>
        <w:t xml:space="preserve"> Sibs Cartões</w:t>
      </w:r>
    </w:p>
    <w:p w:rsidR="00BE64F4" w:rsidRDefault="00BE64F4" w:rsidP="006868C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Return of processing card issue file: Sibs Cartões </w:t>
      </w:r>
      <w:r w:rsidRPr="00BE64F4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PF</w:t>
      </w:r>
    </w:p>
    <w:p w:rsidR="00BE64F4" w:rsidRPr="00BE64F4" w:rsidRDefault="00BE64F4" w:rsidP="006868C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Card expedition file: Sibs Cartões </w:t>
      </w:r>
      <w:r w:rsidRPr="00BE64F4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PF</w:t>
      </w:r>
    </w:p>
    <w:p w:rsidR="00073B15" w:rsidRDefault="00073B15" w:rsidP="006E4E48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statistics below </w:t>
      </w:r>
      <w:r w:rsidRPr="00073B15">
        <w:rPr>
          <w:rFonts w:ascii="Arial" w:hAnsi="Arial" w:cs="Arial"/>
          <w:sz w:val="20"/>
          <w:szCs w:val="20"/>
          <w:lang w:val="en-US"/>
        </w:rPr>
        <w:t>are approximate values,</w:t>
      </w:r>
      <w:r>
        <w:rPr>
          <w:rFonts w:ascii="Arial" w:hAnsi="Arial" w:cs="Arial"/>
          <w:sz w:val="20"/>
          <w:szCs w:val="20"/>
          <w:lang w:val="en-US"/>
        </w:rPr>
        <w:t xml:space="preserve"> based on </w:t>
      </w:r>
      <w:r w:rsidR="00BE64F4">
        <w:rPr>
          <w:rFonts w:ascii="Arial" w:hAnsi="Arial" w:cs="Arial"/>
          <w:sz w:val="20"/>
          <w:szCs w:val="20"/>
          <w:lang w:val="en-US"/>
        </w:rPr>
        <w:t xml:space="preserve">manual control by Suporte IT </w:t>
      </w:r>
      <w:r w:rsidR="001230C6">
        <w:rPr>
          <w:rFonts w:ascii="Arial" w:hAnsi="Arial" w:cs="Arial"/>
          <w:sz w:val="20"/>
          <w:szCs w:val="20"/>
          <w:lang w:val="en-US"/>
        </w:rPr>
        <w:t>team</w:t>
      </w:r>
      <w:r w:rsidR="00BE64F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BE64F4">
        <w:rPr>
          <w:rFonts w:ascii="Arial" w:hAnsi="Arial" w:cs="Arial"/>
          <w:sz w:val="20"/>
          <w:szCs w:val="20"/>
          <w:lang w:val="en-US"/>
        </w:rPr>
        <w:t>Currently</w:t>
      </w:r>
      <w:r w:rsidRPr="00073B15">
        <w:rPr>
          <w:rFonts w:ascii="Arial" w:hAnsi="Arial" w:cs="Arial"/>
          <w:sz w:val="20"/>
          <w:szCs w:val="20"/>
          <w:lang w:val="en-US"/>
        </w:rPr>
        <w:t xml:space="preserve"> we don’t have a</w:t>
      </w:r>
      <w:r w:rsidR="00BE64F4">
        <w:rPr>
          <w:rFonts w:ascii="Arial" w:hAnsi="Arial" w:cs="Arial"/>
          <w:sz w:val="20"/>
          <w:szCs w:val="20"/>
          <w:lang w:val="en-US"/>
        </w:rPr>
        <w:t>n automated</w:t>
      </w:r>
      <w:r w:rsidRPr="00073B15">
        <w:rPr>
          <w:rFonts w:ascii="Arial" w:hAnsi="Arial" w:cs="Arial"/>
          <w:sz w:val="20"/>
          <w:szCs w:val="20"/>
          <w:lang w:val="en-US"/>
        </w:rPr>
        <w:t xml:space="preserve"> process to obtain and follow these statistics</w:t>
      </w:r>
      <w:r>
        <w:rPr>
          <w:rFonts w:ascii="Arial" w:hAnsi="Arial" w:cs="Arial"/>
          <w:sz w:val="20"/>
          <w:szCs w:val="20"/>
          <w:lang w:val="en-US"/>
        </w:rPr>
        <w:t>.</w:t>
      </w:r>
    </w:p>
    <w:tbl>
      <w:tblPr>
        <w:tblStyle w:val="TableGri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06"/>
        <w:gridCol w:w="9417"/>
      </w:tblGrid>
      <w:tr w:rsidR="00EA5BC5" w:rsidRPr="003E4859" w:rsidTr="00EA5BC5">
        <w:tc>
          <w:tcPr>
            <w:tcW w:w="506" w:type="dxa"/>
            <w:vAlign w:val="center"/>
          </w:tcPr>
          <w:p w:rsidR="00EA5BC5" w:rsidRDefault="00EA5BC5" w:rsidP="00EA5B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36E7605B" wp14:editId="6568648A">
                  <wp:extent cx="252992" cy="219739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8693" cy="24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7" w:type="dxa"/>
            <w:vAlign w:val="center"/>
          </w:tcPr>
          <w:p w:rsidR="00EA5BC5" w:rsidRDefault="00EA5BC5" w:rsidP="00EA5BC5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According PF procedure </w:t>
            </w:r>
            <w:r w:rsidRPr="00EA5B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PF0007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PSE’s Control PC9, the supplier must deliver a report about his performance and SLA levels.</w:t>
            </w:r>
          </w:p>
        </w:tc>
      </w:tr>
    </w:tbl>
    <w:p w:rsidR="00295D06" w:rsidRDefault="00295D06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  <w:lang w:val="en-US"/>
        </w:rPr>
      </w:pPr>
    </w:p>
    <w:p w:rsidR="00C51035" w:rsidRDefault="00C51035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  <w:lang w:val="en-US"/>
        </w:rPr>
      </w:pPr>
    </w:p>
    <w:p w:rsidR="00C51035" w:rsidRPr="00C51035" w:rsidRDefault="00C51035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  <w:lang w:val="en-US"/>
        </w:rPr>
      </w:pPr>
      <w:r w:rsidRPr="00C51035">
        <w:rPr>
          <w:rFonts w:ascii="Arial" w:hAnsi="Arial" w:cs="Arial"/>
          <w:color w:val="000000"/>
          <w:sz w:val="20"/>
          <w:szCs w:val="20"/>
          <w:u w:val="single"/>
          <w:lang w:val="en-US"/>
        </w:rPr>
        <w:t>2016 Key Indicators</w:t>
      </w:r>
    </w:p>
    <w:p w:rsidR="00C51035" w:rsidRPr="00C51035" w:rsidRDefault="00C51035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455945" w:rsidRDefault="000B3AEA" w:rsidP="0021021C">
      <w:pPr>
        <w:spacing w:after="0" w:line="240" w:lineRule="auto"/>
        <w:rPr>
          <w:noProof/>
          <w:lang w:val="en-US" w:eastAsia="pt-PT"/>
        </w:rPr>
      </w:pPr>
      <w:r>
        <w:rPr>
          <w:noProof/>
          <w:lang w:eastAsia="pt-PT"/>
        </w:rPr>
        <w:drawing>
          <wp:inline distT="0" distB="0" distL="0" distR="0" wp14:anchorId="2384B19E" wp14:editId="1BD7F9DE">
            <wp:extent cx="2964180" cy="2599690"/>
            <wp:effectExtent l="0" t="0" r="7620" b="101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802180" w:rsidRPr="00A2196C">
        <w:rPr>
          <w:noProof/>
          <w:lang w:val="en-US" w:eastAsia="pt-PT"/>
        </w:rPr>
        <w:t xml:space="preserve"> </w:t>
      </w:r>
      <w:r w:rsidR="00802180">
        <w:rPr>
          <w:noProof/>
          <w:lang w:eastAsia="pt-PT"/>
        </w:rPr>
        <w:drawing>
          <wp:inline distT="0" distB="0" distL="0" distR="0" wp14:anchorId="21BB4CC4" wp14:editId="7B819C95">
            <wp:extent cx="3150235" cy="2593182"/>
            <wp:effectExtent l="0" t="0" r="12065" b="1714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9A3EC9" w:rsidRDefault="009A3EC9" w:rsidP="0021021C">
      <w:pPr>
        <w:spacing w:after="0" w:line="240" w:lineRule="auto"/>
        <w:rPr>
          <w:noProof/>
          <w:lang w:val="en-US" w:eastAsia="pt-PT"/>
        </w:rPr>
      </w:pPr>
    </w:p>
    <w:p w:rsidR="00545E7D" w:rsidRDefault="00545E7D" w:rsidP="00545E7D">
      <w:pPr>
        <w:spacing w:after="0" w:line="240" w:lineRule="auto"/>
        <w:rPr>
          <w:sz w:val="18"/>
          <w:lang w:val="en-US"/>
        </w:rPr>
      </w:pPr>
    </w:p>
    <w:p w:rsidR="00545E7D" w:rsidRDefault="00545E7D" w:rsidP="00545E7D">
      <w:pPr>
        <w:spacing w:after="0" w:line="240" w:lineRule="auto"/>
        <w:rPr>
          <w:sz w:val="18"/>
          <w:lang w:val="en-US"/>
        </w:rPr>
      </w:pPr>
      <w:r>
        <w:rPr>
          <w:sz w:val="18"/>
          <w:lang w:val="en-US"/>
        </w:rPr>
        <w:t>Key Events with internal causes:</w:t>
      </w:r>
    </w:p>
    <w:p w:rsidR="00545E7D" w:rsidRDefault="00545E7D" w:rsidP="0021021C">
      <w:pPr>
        <w:spacing w:after="0" w:line="240" w:lineRule="auto"/>
        <w:rPr>
          <w:noProof/>
          <w:lang w:val="en-US" w:eastAsia="pt-PT"/>
        </w:rPr>
      </w:pPr>
    </w:p>
    <w:tbl>
      <w:tblPr>
        <w:tblW w:w="5377" w:type="dxa"/>
        <w:tblInd w:w="-5" w:type="dxa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4"/>
        <w:gridCol w:w="1681"/>
        <w:gridCol w:w="1175"/>
        <w:gridCol w:w="1587"/>
      </w:tblGrid>
      <w:tr w:rsidR="009A3EC9" w:rsidRPr="004412C8" w:rsidTr="00545E7D">
        <w:tc>
          <w:tcPr>
            <w:tcW w:w="934" w:type="dxa"/>
            <w:shd w:val="clear" w:color="auto" w:fill="F2F2F2" w:themeFill="background1" w:themeFillShade="F2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>Date</w:t>
            </w:r>
          </w:p>
        </w:tc>
        <w:tc>
          <w:tcPr>
            <w:tcW w:w="1681" w:type="dxa"/>
            <w:shd w:val="clear" w:color="auto" w:fill="F2F2F2" w:themeFill="background1" w:themeFillShade="F2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>Insufficient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 xml:space="preserve"> Stock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>of</w:t>
            </w:r>
            <w:proofErr w:type="spellEnd"/>
          </w:p>
        </w:tc>
        <w:tc>
          <w:tcPr>
            <w:tcW w:w="1175" w:type="dxa"/>
            <w:shd w:val="clear" w:color="auto" w:fill="F2F2F2" w:themeFill="background1" w:themeFillShade="F2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</w:pPr>
            <w:proofErr w:type="spellStart"/>
            <w:r w:rsidRPr="004412C8"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>Insignia</w:t>
            </w:r>
            <w:proofErr w:type="spellEnd"/>
          </w:p>
        </w:tc>
        <w:tc>
          <w:tcPr>
            <w:tcW w:w="1587" w:type="dxa"/>
            <w:shd w:val="clear" w:color="auto" w:fill="F2F2F2" w:themeFill="background1" w:themeFillShade="F2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</w:pPr>
            <w:proofErr w:type="spellStart"/>
            <w:r w:rsidRPr="004412C8"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>Afected</w:t>
            </w:r>
            <w:proofErr w:type="spellEnd"/>
            <w:r w:rsidRPr="004412C8"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Pr="004412C8">
              <w:rPr>
                <w:rFonts w:ascii="Arial" w:eastAsia="Times New Roman" w:hAnsi="Arial" w:cs="Arial"/>
                <w:b/>
                <w:color w:val="000000"/>
                <w:sz w:val="14"/>
                <w:lang w:eastAsia="pt-PT"/>
              </w:rPr>
              <w:t>Productions</w:t>
            </w:r>
            <w:proofErr w:type="spell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02-06-2016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paper</w:t>
            </w:r>
            <w:proofErr w:type="spellEnd"/>
            <w:proofErr w:type="gram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Conforama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july-16</w:t>
            </w:r>
            <w:proofErr w:type="gram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14-06-2016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</w:t>
            </w: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aper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JOM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july-16</w:t>
            </w:r>
            <w:proofErr w:type="gram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28-06-2016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paper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IKEA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july-16</w:t>
            </w:r>
            <w:proofErr w:type="gram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30-06-2016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paper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CTT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july-16</w:t>
            </w:r>
            <w:proofErr w:type="gram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04-08-2016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plastic</w:t>
            </w:r>
            <w:proofErr w:type="spellEnd"/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IKEA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aug-16</w:t>
            </w:r>
            <w:proofErr w:type="gram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14-08-2016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Lack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paper</w:t>
            </w:r>
            <w:proofErr w:type="spellEnd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gram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stock</w:t>
            </w:r>
            <w:proofErr w:type="gramEnd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IKEA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aug-16</w:t>
            </w:r>
            <w:proofErr w:type="gram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, Sep-16</w:t>
            </w:r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25-08-2016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Lack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plastic</w:t>
            </w:r>
            <w:proofErr w:type="spellEnd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gram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stock</w:t>
            </w:r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Conforama</w:t>
            </w:r>
            <w:proofErr w:type="spellEnd"/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aug-16</w:t>
            </w:r>
            <w:proofErr w:type="gram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, Sep-16</w:t>
            </w:r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21-10-2016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Lack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plastic</w:t>
            </w:r>
            <w:proofErr w:type="spellEnd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gram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stock</w:t>
            </w:r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Worten</w:t>
            </w:r>
            <w:proofErr w:type="spell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and</w:t>
            </w:r>
            <w:proofErr w:type="spell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RP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nov-16</w:t>
            </w:r>
            <w:proofErr w:type="gramEnd"/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26-11-2016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Lack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plastic</w:t>
            </w:r>
            <w:proofErr w:type="spellEnd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gram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stock</w:t>
            </w:r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Worten</w:t>
            </w:r>
            <w:proofErr w:type="spell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and</w:t>
            </w:r>
            <w:proofErr w:type="spellEnd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RP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Dec-16</w:t>
            </w:r>
          </w:p>
        </w:tc>
      </w:tr>
      <w:tr w:rsidR="009A3EC9" w:rsidRPr="004412C8" w:rsidTr="00545E7D">
        <w:tc>
          <w:tcPr>
            <w:tcW w:w="934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13-12-2016</w:t>
            </w:r>
          </w:p>
        </w:tc>
        <w:tc>
          <w:tcPr>
            <w:tcW w:w="1681" w:type="dxa"/>
            <w:shd w:val="clear" w:color="auto" w:fill="auto"/>
            <w:noWrap/>
            <w:vAlign w:val="center"/>
            <w:hideMark/>
          </w:tcPr>
          <w:p w:rsidR="009A3EC9" w:rsidRPr="004412C8" w:rsidRDefault="00545E7D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Lack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spell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plastic</w:t>
            </w:r>
            <w:proofErr w:type="spellEnd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 xml:space="preserve"> </w:t>
            </w:r>
            <w:proofErr w:type="gramStart"/>
            <w:r w:rsidR="009A3EC9"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stock</w:t>
            </w:r>
            <w:proofErr w:type="gramEnd"/>
          </w:p>
        </w:tc>
        <w:tc>
          <w:tcPr>
            <w:tcW w:w="1175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Decathlon</w:t>
            </w:r>
          </w:p>
        </w:tc>
        <w:tc>
          <w:tcPr>
            <w:tcW w:w="1587" w:type="dxa"/>
            <w:shd w:val="clear" w:color="auto" w:fill="auto"/>
            <w:noWrap/>
            <w:vAlign w:val="center"/>
            <w:hideMark/>
          </w:tcPr>
          <w:p w:rsidR="009A3EC9" w:rsidRPr="004412C8" w:rsidRDefault="009A3EC9" w:rsidP="00545E7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</w:pPr>
            <w:proofErr w:type="gramStart"/>
            <w:r w:rsidRPr="004412C8">
              <w:rPr>
                <w:rFonts w:ascii="Arial" w:eastAsia="Times New Roman" w:hAnsi="Arial" w:cs="Arial"/>
                <w:color w:val="000000"/>
                <w:sz w:val="14"/>
                <w:lang w:eastAsia="pt-PT"/>
              </w:rPr>
              <w:t>dec-16</w:t>
            </w:r>
            <w:proofErr w:type="gramEnd"/>
          </w:p>
        </w:tc>
      </w:tr>
    </w:tbl>
    <w:p w:rsidR="009A3EC9" w:rsidRDefault="009A3EC9" w:rsidP="0021021C">
      <w:pPr>
        <w:spacing w:after="0" w:line="240" w:lineRule="auto"/>
        <w:rPr>
          <w:noProof/>
          <w:lang w:val="en-US" w:eastAsia="pt-PT"/>
        </w:rPr>
      </w:pPr>
    </w:p>
    <w:p w:rsidR="0038030D" w:rsidRDefault="0038030D" w:rsidP="0021021C">
      <w:pPr>
        <w:spacing w:after="0" w:line="240" w:lineRule="auto"/>
        <w:rPr>
          <w:noProof/>
          <w:lang w:val="en-US" w:eastAsia="pt-PT"/>
        </w:rPr>
      </w:pPr>
    </w:p>
    <w:p w:rsidR="0038030D" w:rsidRDefault="0038030D" w:rsidP="0021021C">
      <w:pPr>
        <w:spacing w:after="0" w:line="240" w:lineRule="auto"/>
        <w:rPr>
          <w:noProof/>
          <w:lang w:val="en-US" w:eastAsia="pt-PT"/>
        </w:rPr>
      </w:pPr>
    </w:p>
    <w:p w:rsidR="0038030D" w:rsidRDefault="00CE30BD" w:rsidP="0021021C">
      <w:pPr>
        <w:spacing w:after="0" w:line="240" w:lineRule="auto"/>
        <w:rPr>
          <w:noProof/>
          <w:lang w:val="en-US" w:eastAsia="pt-PT"/>
        </w:rPr>
      </w:pPr>
      <w:r>
        <w:rPr>
          <w:noProof/>
          <w:lang w:eastAsia="pt-PT"/>
        </w:rPr>
        <w:drawing>
          <wp:inline distT="0" distB="0" distL="0" distR="0" wp14:anchorId="15826C2A" wp14:editId="26B8B381">
            <wp:extent cx="6299835" cy="2459360"/>
            <wp:effectExtent l="0" t="0" r="5715" b="1714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81B8D" w:rsidRPr="0059103A" w:rsidRDefault="00F81B8D" w:rsidP="0021021C">
      <w:pPr>
        <w:spacing w:after="0" w:line="240" w:lineRule="auto"/>
        <w:rPr>
          <w:noProof/>
          <w:sz w:val="18"/>
          <w:lang w:val="en-US" w:eastAsia="pt-PT"/>
        </w:rPr>
      </w:pPr>
    </w:p>
    <w:p w:rsidR="009A3EC9" w:rsidRDefault="004530E8" w:rsidP="008B3F45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>
        <w:rPr>
          <w:noProof/>
          <w:lang w:eastAsia="pt-PT"/>
        </w:rPr>
        <w:drawing>
          <wp:inline distT="0" distB="0" distL="0" distR="0" wp14:anchorId="42108C78" wp14:editId="3AE1FC8A">
            <wp:extent cx="6299835" cy="4453255"/>
            <wp:effectExtent l="0" t="0" r="5715" b="444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EC9" w:rsidRDefault="009A3EC9" w:rsidP="0021021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775130" w:rsidRDefault="004530E8" w:rsidP="00775130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>
        <w:rPr>
          <w:noProof/>
          <w:lang w:eastAsia="pt-PT"/>
        </w:rPr>
        <w:drawing>
          <wp:inline distT="0" distB="0" distL="0" distR="0" wp14:anchorId="220AFDED" wp14:editId="1A9EA689">
            <wp:extent cx="3657600" cy="1646078"/>
            <wp:effectExtent l="0" t="0" r="0" b="1143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81B8D" w:rsidRDefault="00F81B8D" w:rsidP="00775130">
      <w:pPr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  <w:r>
        <w:rPr>
          <w:noProof/>
          <w:lang w:eastAsia="pt-PT"/>
        </w:rPr>
        <w:lastRenderedPageBreak/>
        <w:drawing>
          <wp:inline distT="0" distB="0" distL="0" distR="0" wp14:anchorId="1314D511" wp14:editId="3DAD5F1F">
            <wp:extent cx="6299835" cy="5850732"/>
            <wp:effectExtent l="0" t="0" r="5715" b="1714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31FDF" w:rsidRDefault="00631FDF" w:rsidP="0021021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  <w:lang w:val="en-US"/>
        </w:rPr>
      </w:pPr>
    </w:p>
    <w:p w:rsidR="004412C8" w:rsidRDefault="004412C8" w:rsidP="0021021C">
      <w:pPr>
        <w:spacing w:after="0" w:line="240" w:lineRule="auto"/>
        <w:rPr>
          <w:rFonts w:ascii="Arial" w:hAnsi="Arial" w:cs="Arial"/>
          <w:color w:val="000000"/>
          <w:sz w:val="20"/>
          <w:szCs w:val="20"/>
          <w:u w:val="single"/>
          <w:lang w:val="en-US"/>
        </w:rPr>
      </w:pPr>
    </w:p>
    <w:p w:rsidR="006D0A83" w:rsidRPr="00CE554C" w:rsidRDefault="006D0A83" w:rsidP="0021021C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Governance</w:t>
      </w:r>
    </w:p>
    <w:p w:rsidR="00CE554C" w:rsidRPr="008E4E4F" w:rsidRDefault="00CE554C" w:rsidP="00CE554C">
      <w:pPr>
        <w:pStyle w:val="ListParagraph"/>
        <w:spacing w:after="0" w:line="240" w:lineRule="auto"/>
        <w:ind w:left="360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IV</w:t>
      </w:r>
      <w:r w:rsidR="00BF63E8"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, clause 1</w:t>
      </w:r>
    </w:p>
    <w:p w:rsidR="00CE554C" w:rsidRPr="006D0A83" w:rsidRDefault="00CE554C" w:rsidP="00CE554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286E73" w:rsidRDefault="00CE554C" w:rsidP="00CE554C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Quarter meetings between SIBS Cartões and PF</w:t>
      </w:r>
    </w:p>
    <w:p w:rsidR="00CE554C" w:rsidRDefault="00286E73" w:rsidP="00286E7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Objectives /</w:t>
      </w:r>
      <w:r w:rsidR="00CE554C">
        <w:rPr>
          <w:rFonts w:ascii="Arial" w:hAnsi="Arial" w:cs="Arial"/>
          <w:sz w:val="20"/>
          <w:szCs w:val="20"/>
          <w:lang w:val="en-US"/>
        </w:rPr>
        <w:t xml:space="preserve"> agenda:</w:t>
      </w:r>
    </w:p>
    <w:p w:rsidR="00CE554C" w:rsidRDefault="00CE554C" w:rsidP="00286E73">
      <w:pPr>
        <w:pStyle w:val="ListParagraph"/>
        <w:numPr>
          <w:ilvl w:val="2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Evaluate service levels;</w:t>
      </w:r>
    </w:p>
    <w:p w:rsidR="00CE554C" w:rsidRDefault="00CE554C" w:rsidP="00286E73">
      <w:pPr>
        <w:pStyle w:val="ListParagraph"/>
        <w:numPr>
          <w:ilvl w:val="2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Identify</w:t>
      </w:r>
      <w:r w:rsidRPr="00CE554C">
        <w:rPr>
          <w:rFonts w:ascii="Arial" w:hAnsi="Arial" w:cs="Arial"/>
          <w:sz w:val="20"/>
          <w:szCs w:val="20"/>
          <w:lang w:val="en-US"/>
        </w:rPr>
        <w:t xml:space="preserve"> problems and defin</w:t>
      </w:r>
      <w:r>
        <w:rPr>
          <w:rFonts w:ascii="Arial" w:hAnsi="Arial" w:cs="Arial"/>
          <w:sz w:val="20"/>
          <w:szCs w:val="20"/>
          <w:lang w:val="en-US"/>
        </w:rPr>
        <w:t>e</w:t>
      </w:r>
      <w:r w:rsidRPr="00CE554C">
        <w:rPr>
          <w:rFonts w:ascii="Arial" w:hAnsi="Arial" w:cs="Arial"/>
          <w:sz w:val="20"/>
          <w:szCs w:val="20"/>
          <w:lang w:val="en-US"/>
        </w:rPr>
        <w:t xml:space="preserve"> action plans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6D0A83" w:rsidRDefault="00CE554C" w:rsidP="00286E73">
      <w:pPr>
        <w:pStyle w:val="ListParagraph"/>
        <w:numPr>
          <w:ilvl w:val="2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KPI’s of the quarter; analyze deviations and root causes</w:t>
      </w:r>
    </w:p>
    <w:p w:rsidR="00CE554C" w:rsidRDefault="00286E73" w:rsidP="00286E73">
      <w:pPr>
        <w:pStyle w:val="ListParagraph"/>
        <w:numPr>
          <w:ilvl w:val="2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Review of the quarter planning</w:t>
      </w:r>
    </w:p>
    <w:p w:rsidR="00286E73" w:rsidRDefault="00286E73" w:rsidP="00286E7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Support Documents: Performance Control Report, Action Planning</w:t>
      </w:r>
    </w:p>
    <w:p w:rsidR="00286E73" w:rsidRDefault="00286E73" w:rsidP="00286E7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Attendees: SIBS Cartões Manager, PF Manager</w:t>
      </w:r>
    </w:p>
    <w:p w:rsidR="00286E73" w:rsidRPr="00286E73" w:rsidRDefault="00286E73" w:rsidP="00286E73">
      <w:pPr>
        <w:pStyle w:val="ListParagraph"/>
        <w:numPr>
          <w:ilvl w:val="1"/>
          <w:numId w:val="20"/>
        </w:num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Location: SIBS Cartões</w:t>
      </w:r>
    </w:p>
    <w:p w:rsidR="00286E73" w:rsidRDefault="00286E73" w:rsidP="006868C1">
      <w:pPr>
        <w:pStyle w:val="ListParagraph"/>
        <w:spacing w:after="0" w:line="240" w:lineRule="auto"/>
        <w:ind w:left="1800"/>
        <w:jc w:val="both"/>
        <w:rPr>
          <w:rFonts w:ascii="Arial" w:hAnsi="Arial" w:cs="Arial"/>
          <w:sz w:val="20"/>
          <w:szCs w:val="20"/>
          <w:lang w:val="en-US"/>
        </w:rPr>
      </w:pPr>
    </w:p>
    <w:p w:rsidR="00286E73" w:rsidRDefault="00286E73" w:rsidP="006868C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Card Issuing Annual Planning – to be provided by PF at the </w:t>
      </w:r>
      <w:r w:rsidR="00330F8E">
        <w:rPr>
          <w:rFonts w:ascii="Arial" w:hAnsi="Arial" w:cs="Arial"/>
          <w:sz w:val="20"/>
          <w:szCs w:val="20"/>
          <w:lang w:val="en-US"/>
        </w:rPr>
        <w:t>end of</w:t>
      </w:r>
      <w:r>
        <w:rPr>
          <w:rFonts w:ascii="Arial" w:hAnsi="Arial" w:cs="Arial"/>
          <w:sz w:val="20"/>
          <w:szCs w:val="20"/>
          <w:lang w:val="en-US"/>
        </w:rPr>
        <w:t xml:space="preserve"> each year</w:t>
      </w:r>
      <w:r w:rsidR="00330F8E">
        <w:rPr>
          <w:rFonts w:ascii="Arial" w:hAnsi="Arial" w:cs="Arial"/>
          <w:sz w:val="20"/>
          <w:szCs w:val="20"/>
          <w:lang w:val="en-US"/>
        </w:rPr>
        <w:t>, with the forecast for next year;</w:t>
      </w:r>
    </w:p>
    <w:p w:rsidR="00286E73" w:rsidRDefault="00286E73" w:rsidP="006868C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Card Issuing Monthly Planning by Card Type – to be</w:t>
      </w:r>
      <w:r w:rsidRPr="00286E7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provided by PF quarterly, two months in advance</w:t>
      </w:r>
      <w:r w:rsidR="00330F8E">
        <w:rPr>
          <w:rFonts w:ascii="Arial" w:hAnsi="Arial" w:cs="Arial"/>
          <w:sz w:val="20"/>
          <w:szCs w:val="20"/>
          <w:lang w:val="en-US"/>
        </w:rPr>
        <w:t>;</w:t>
      </w:r>
    </w:p>
    <w:p w:rsidR="00286E73" w:rsidRDefault="00330F8E" w:rsidP="006868C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Performance Control Report – SIBS Cartões provide a set of flat files that allow PF to build a report in order to control card production performance.</w:t>
      </w:r>
    </w:p>
    <w:p w:rsidR="00286E73" w:rsidRDefault="00286E73" w:rsidP="00286E73">
      <w:pPr>
        <w:pStyle w:val="ListParagraph"/>
        <w:spacing w:after="0" w:line="240" w:lineRule="auto"/>
        <w:ind w:left="1800"/>
        <w:rPr>
          <w:rFonts w:ascii="Arial" w:hAnsi="Arial" w:cs="Arial"/>
          <w:sz w:val="20"/>
          <w:szCs w:val="20"/>
          <w:lang w:val="en-US"/>
        </w:rPr>
      </w:pPr>
    </w:p>
    <w:p w:rsidR="00700A4A" w:rsidRDefault="00700A4A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32433B" w:rsidRPr="006D0A83" w:rsidRDefault="0032433B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6D0A83" w:rsidRPr="005500CB" w:rsidRDefault="006D0A83" w:rsidP="0021021C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Costs</w:t>
      </w:r>
    </w:p>
    <w:p w:rsidR="005500CB" w:rsidRDefault="005500CB" w:rsidP="005500CB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7A7962" w:rsidRPr="005F5FE5" w:rsidRDefault="007A7962" w:rsidP="007A7962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i/>
          <w:iCs/>
          <w:sz w:val="18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The production Costs are deducted from Marketing Department budget.</w:t>
      </w:r>
    </w:p>
    <w:p w:rsidR="007A7962" w:rsidRPr="00800459" w:rsidRDefault="007A7962" w:rsidP="005500CB">
      <w:pPr>
        <w:pStyle w:val="ListParagraph"/>
        <w:spacing w:after="0" w:line="240" w:lineRule="auto"/>
        <w:ind w:left="360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</w:p>
    <w:p w:rsidR="005500CB" w:rsidRPr="008E4E4F" w:rsidRDefault="005500CB" w:rsidP="005500CB">
      <w:pPr>
        <w:pStyle w:val="ListParagraph"/>
        <w:spacing w:after="0" w:line="240" w:lineRule="auto"/>
        <w:ind w:left="360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III, clause</w:t>
      </w:r>
      <w:r w:rsidR="008226C7"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s</w:t>
      </w:r>
      <w:r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2</w:t>
      </w:r>
      <w:r w:rsidR="008226C7"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and 3</w:t>
      </w:r>
    </w:p>
    <w:tbl>
      <w:tblPr>
        <w:tblW w:w="0" w:type="auto"/>
        <w:tblInd w:w="4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1418"/>
      </w:tblGrid>
      <w:tr w:rsidR="005500CB" w:rsidRPr="007272F4" w:rsidTr="008226C7">
        <w:trPr>
          <w:trHeight w:val="140"/>
        </w:trPr>
        <w:tc>
          <w:tcPr>
            <w:tcW w:w="42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Pr="007272F4" w:rsidRDefault="005500CB" w:rsidP="005500C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</w:rPr>
              <w:t>Service</w:t>
            </w:r>
          </w:p>
        </w:tc>
        <w:tc>
          <w:tcPr>
            <w:tcW w:w="141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Pr="007272F4" w:rsidRDefault="005500CB" w:rsidP="00D560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Cost</w:t>
            </w:r>
          </w:p>
        </w:tc>
      </w:tr>
      <w:tr w:rsidR="005500CB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Pr="007272F4" w:rsidRDefault="005500CB" w:rsidP="00D56082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Card Personalization (front and back)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Pr="007272F4" w:rsidRDefault="005500CB" w:rsidP="00D5608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0,15€ / card</w:t>
            </w:r>
          </w:p>
        </w:tc>
      </w:tr>
      <w:tr w:rsidR="005500CB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Photo (front or back)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Pr="007272F4" w:rsidRDefault="005500CB" w:rsidP="005500C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0,40€ / card</w:t>
            </w:r>
          </w:p>
        </w:tc>
      </w:tr>
      <w:tr w:rsidR="005500CB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Chip recording (if chip provided by PF)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0,16€ / card</w:t>
            </w:r>
          </w:p>
        </w:tc>
      </w:tr>
      <w:tr w:rsidR="005500CB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Chip recording (if chip provided by SIBS)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0,11€ / card</w:t>
            </w:r>
          </w:p>
        </w:tc>
      </w:tr>
      <w:tr w:rsidR="005500CB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Print, enveloping and expedition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00CB" w:rsidRDefault="005500CB" w:rsidP="005500CB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0,14€ / card</w:t>
            </w:r>
          </w:p>
        </w:tc>
      </w:tr>
      <w:tr w:rsidR="008226C7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PIN letter personalization, printing and folding)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0,06€ / letter</w:t>
            </w:r>
          </w:p>
        </w:tc>
      </w:tr>
      <w:tr w:rsidR="008226C7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PIN letter personalization, printing, folding and enveloping)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0,10€ / letter</w:t>
            </w:r>
          </w:p>
        </w:tc>
      </w:tr>
      <w:tr w:rsidR="008226C7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Packaging of cards or PINs (until 50 packs / bag)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0,50€ / bag</w:t>
            </w:r>
          </w:p>
        </w:tc>
      </w:tr>
      <w:tr w:rsidR="008226C7" w:rsidRPr="007272F4" w:rsidTr="008226C7">
        <w:tc>
          <w:tcPr>
            <w:tcW w:w="4252" w:type="dxa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Packaging of cards or PINs (more than 50 packs / bag)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0,75€ / bag</w:t>
            </w:r>
          </w:p>
        </w:tc>
      </w:tr>
      <w:tr w:rsidR="008226C7" w:rsidRPr="007272F4" w:rsidTr="00196886">
        <w:tc>
          <w:tcPr>
            <w:tcW w:w="42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Extra card processing (request by email or fax)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26C7" w:rsidRDefault="008226C7" w:rsidP="008226C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16"/>
                <w:szCs w:val="20"/>
                <w:lang w:val="en-US"/>
              </w:rPr>
              <w:t>8,00€</w:t>
            </w:r>
          </w:p>
        </w:tc>
      </w:tr>
    </w:tbl>
    <w:p w:rsidR="005F5FE5" w:rsidRDefault="005F5FE5" w:rsidP="005F5FE5">
      <w:pPr>
        <w:spacing w:after="0" w:line="240" w:lineRule="auto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</w:p>
    <w:p w:rsidR="006D0A83" w:rsidRPr="006D0A83" w:rsidRDefault="006D0A83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6D0A83" w:rsidRPr="00A860F4" w:rsidRDefault="006D0A83" w:rsidP="0021021C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Commitments</w:t>
      </w:r>
    </w:p>
    <w:p w:rsidR="00BF63E8" w:rsidRPr="008E4E4F" w:rsidRDefault="00BF63E8" w:rsidP="00BF63E8">
      <w:pPr>
        <w:pStyle w:val="ListParagraph"/>
        <w:spacing w:after="0" w:line="240" w:lineRule="auto"/>
        <w:ind w:left="360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 w:rsidRP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Annex IV, clause 2</w:t>
      </w:r>
    </w:p>
    <w:p w:rsidR="00A860F4" w:rsidRPr="00A860F4" w:rsidRDefault="00A860F4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A860F4" w:rsidRPr="004604E1" w:rsidRDefault="00A860F4" w:rsidP="0021021C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From PF</w:t>
      </w:r>
    </w:p>
    <w:p w:rsidR="004604E1" w:rsidRPr="00A860F4" w:rsidRDefault="004604E1" w:rsidP="004604E1">
      <w:pPr>
        <w:pStyle w:val="ListParagraph"/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</w:p>
    <w:p w:rsidR="00286E73" w:rsidRPr="00BF63E8" w:rsidRDefault="00286E73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Provide to SIBS Cartões, at the </w:t>
      </w:r>
      <w:r w:rsidR="00330F8E">
        <w:rPr>
          <w:rFonts w:ascii="Arial" w:hAnsi="Arial" w:cs="Arial"/>
          <w:sz w:val="20"/>
          <w:szCs w:val="20"/>
          <w:lang w:val="en-US"/>
        </w:rPr>
        <w:t>end</w:t>
      </w:r>
      <w:r>
        <w:rPr>
          <w:rFonts w:ascii="Arial" w:hAnsi="Arial" w:cs="Arial"/>
          <w:sz w:val="20"/>
          <w:szCs w:val="20"/>
          <w:lang w:val="en-US"/>
        </w:rPr>
        <w:t xml:space="preserve"> of each year, the annual card issuing planning</w:t>
      </w:r>
      <w:r w:rsidR="00330F8E">
        <w:rPr>
          <w:rFonts w:ascii="Arial" w:hAnsi="Arial" w:cs="Arial"/>
          <w:sz w:val="20"/>
          <w:szCs w:val="20"/>
          <w:lang w:val="en-US"/>
        </w:rPr>
        <w:t xml:space="preserve"> for the next year;</w:t>
      </w:r>
    </w:p>
    <w:p w:rsidR="00BF63E8" w:rsidRPr="00BF63E8" w:rsidRDefault="00BF63E8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With the image of the new cards 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This 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is not </w:t>
      </w:r>
      <w:r w:rsidR="00BE64F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achievable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by PF)</w:t>
      </w:r>
    </w:p>
    <w:p w:rsidR="00BF63E8" w:rsidRPr="00BF63E8" w:rsidRDefault="00BF63E8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With the forecast divided by issuing, renovation and special campaigns</w:t>
      </w:r>
    </w:p>
    <w:p w:rsidR="00BF63E8" w:rsidRPr="00BF63E8" w:rsidRDefault="00BF63E8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Define the materials to use in each card production (card plastic, carrier card papers, envelopes);</w:t>
      </w:r>
    </w:p>
    <w:p w:rsidR="00A860F4" w:rsidRPr="00072484" w:rsidRDefault="00A860F4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Inform SIBS Cartões </w:t>
      </w:r>
      <w:r w:rsidR="009614D6">
        <w:rPr>
          <w:rFonts w:ascii="Arial" w:hAnsi="Arial" w:cs="Arial"/>
          <w:sz w:val="20"/>
          <w:szCs w:val="20"/>
          <w:lang w:val="en-US"/>
        </w:rPr>
        <w:t>15 days in advance if a large production is expected (more than 15.00</w:t>
      </w:r>
      <w:r w:rsidR="004604E1">
        <w:rPr>
          <w:rFonts w:ascii="Arial" w:hAnsi="Arial" w:cs="Arial"/>
          <w:sz w:val="20"/>
          <w:szCs w:val="20"/>
          <w:lang w:val="en-US"/>
        </w:rPr>
        <w:t>0</w:t>
      </w:r>
      <w:r w:rsidR="009614D6">
        <w:rPr>
          <w:rFonts w:ascii="Arial" w:hAnsi="Arial" w:cs="Arial"/>
          <w:sz w:val="20"/>
          <w:szCs w:val="20"/>
          <w:lang w:val="en-US"/>
        </w:rPr>
        <w:t xml:space="preserve"> cards)</w:t>
      </w:r>
      <w:r>
        <w:rPr>
          <w:rFonts w:ascii="Arial" w:hAnsi="Arial" w:cs="Arial"/>
          <w:sz w:val="20"/>
          <w:szCs w:val="20"/>
          <w:lang w:val="en-US"/>
        </w:rPr>
        <w:t>;</w:t>
      </w:r>
    </w:p>
    <w:p w:rsidR="00072484" w:rsidRPr="00072484" w:rsidRDefault="00072484" w:rsidP="006868C1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This has not been done by 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PF)</w:t>
      </w:r>
    </w:p>
    <w:p w:rsidR="00A860F4" w:rsidRPr="00072484" w:rsidRDefault="009614D6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Inform </w:t>
      </w:r>
      <w:r w:rsidR="00D95FB8">
        <w:rPr>
          <w:rFonts w:ascii="Arial" w:hAnsi="Arial" w:cs="Arial"/>
          <w:sz w:val="20"/>
          <w:szCs w:val="20"/>
          <w:lang w:val="en-US"/>
        </w:rPr>
        <w:t xml:space="preserve">in a quarterly base </w:t>
      </w:r>
      <w:r>
        <w:rPr>
          <w:rFonts w:ascii="Arial" w:hAnsi="Arial" w:cs="Arial"/>
          <w:sz w:val="20"/>
          <w:szCs w:val="20"/>
          <w:lang w:val="en-US"/>
        </w:rPr>
        <w:t xml:space="preserve">SIBS Cartões </w:t>
      </w:r>
      <w:r w:rsidR="007272F4">
        <w:rPr>
          <w:rFonts w:ascii="Arial" w:hAnsi="Arial" w:cs="Arial"/>
          <w:sz w:val="20"/>
          <w:szCs w:val="20"/>
          <w:lang w:val="en-US"/>
        </w:rPr>
        <w:t xml:space="preserve">of the card issuing </w:t>
      </w:r>
      <w:r w:rsidR="00D95FB8">
        <w:rPr>
          <w:rFonts w:ascii="Arial" w:hAnsi="Arial" w:cs="Arial"/>
          <w:sz w:val="20"/>
          <w:szCs w:val="20"/>
          <w:lang w:val="en-US"/>
        </w:rPr>
        <w:t>forecast</w:t>
      </w:r>
      <w:r w:rsidR="00286E73">
        <w:rPr>
          <w:rFonts w:ascii="Arial" w:hAnsi="Arial" w:cs="Arial"/>
          <w:sz w:val="20"/>
          <w:szCs w:val="20"/>
          <w:lang w:val="en-US"/>
        </w:rPr>
        <w:t xml:space="preserve"> by month</w:t>
      </w:r>
      <w:r w:rsidR="007272F4">
        <w:rPr>
          <w:rFonts w:ascii="Arial" w:hAnsi="Arial" w:cs="Arial"/>
          <w:sz w:val="20"/>
          <w:szCs w:val="20"/>
          <w:lang w:val="en-US"/>
        </w:rPr>
        <w:t>;</w:t>
      </w:r>
    </w:p>
    <w:p w:rsidR="00072484" w:rsidRPr="00072484" w:rsidRDefault="00072484" w:rsidP="006868C1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This has not been done by 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PF)</w:t>
      </w:r>
    </w:p>
    <w:p w:rsidR="007272F4" w:rsidRPr="007272F4" w:rsidRDefault="007272F4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Maintain a minimum stock of:</w:t>
      </w:r>
    </w:p>
    <w:p w:rsidR="007272F4" w:rsidRPr="007272F4" w:rsidRDefault="007272F4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Envelopes – 2 months</w:t>
      </w:r>
    </w:p>
    <w:p w:rsidR="007272F4" w:rsidRPr="007272F4" w:rsidRDefault="007272F4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Carrier cards (paper) – 2 months</w:t>
      </w:r>
    </w:p>
    <w:p w:rsidR="007272F4" w:rsidRPr="00072484" w:rsidRDefault="007272F4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Cards (plastic) – 3 months</w:t>
      </w:r>
    </w:p>
    <w:p w:rsidR="00072484" w:rsidRPr="00072484" w:rsidRDefault="00072484" w:rsidP="006868C1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(There are some internal failures in this process)</w:t>
      </w:r>
    </w:p>
    <w:p w:rsidR="009B11FA" w:rsidRPr="009B11FA" w:rsidRDefault="004604E1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072484">
        <w:rPr>
          <w:rFonts w:ascii="Arial" w:hAnsi="Arial" w:cs="Arial"/>
          <w:sz w:val="20"/>
          <w:szCs w:val="20"/>
          <w:lang w:val="en-US"/>
        </w:rPr>
        <w:t>Supply the material with the required characteristics in order to ensure</w:t>
      </w:r>
      <w:r w:rsidR="009B11FA">
        <w:rPr>
          <w:rFonts w:ascii="Arial" w:hAnsi="Arial" w:cs="Arial"/>
          <w:sz w:val="20"/>
          <w:szCs w:val="20"/>
          <w:lang w:val="en-US"/>
        </w:rPr>
        <w:t>:</w:t>
      </w:r>
    </w:p>
    <w:p w:rsidR="009B11FA" w:rsidRPr="009B11FA" w:rsidRDefault="004604E1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072484">
        <w:rPr>
          <w:rFonts w:ascii="Arial" w:hAnsi="Arial" w:cs="Arial"/>
          <w:sz w:val="20"/>
          <w:szCs w:val="20"/>
          <w:lang w:val="en-US"/>
        </w:rPr>
        <w:t>the proper functioning and productivity of the equipment in SIBS Cart</w:t>
      </w:r>
      <w:r w:rsidR="00072484">
        <w:rPr>
          <w:rFonts w:ascii="Arial" w:hAnsi="Arial" w:cs="Arial"/>
          <w:sz w:val="20"/>
          <w:szCs w:val="20"/>
          <w:lang w:val="en-US"/>
        </w:rPr>
        <w:t>õe</w:t>
      </w:r>
      <w:r w:rsidR="009B11FA">
        <w:rPr>
          <w:rFonts w:ascii="Arial" w:hAnsi="Arial" w:cs="Arial"/>
          <w:sz w:val="20"/>
          <w:szCs w:val="20"/>
          <w:lang w:val="en-US"/>
        </w:rPr>
        <w:t>s factory</w:t>
      </w:r>
    </w:p>
    <w:p w:rsidR="00072484" w:rsidRPr="00072484" w:rsidRDefault="009B11FA" w:rsidP="006868C1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quality and security parameters demanded by SIBS and Mastercard </w:t>
      </w:r>
    </w:p>
    <w:p w:rsidR="00072484" w:rsidRDefault="00072484" w:rsidP="006868C1">
      <w:pPr>
        <w:pStyle w:val="ListParagraph"/>
        <w:spacing w:after="0" w:line="240" w:lineRule="auto"/>
        <w:jc w:val="both"/>
        <w:rPr>
          <w:rFonts w:ascii="Arial" w:hAnsi="Arial" w:cs="Arial"/>
          <w:i/>
          <w:iCs/>
          <w:color w:val="4472C4"/>
          <w:sz w:val="18"/>
          <w:szCs w:val="20"/>
          <w:lang w:val="en-US"/>
        </w:rPr>
      </w:pP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 w:rsidR="009B11FA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Regarding the paper quality, t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here are some internal failures in this process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BF63E8" w:rsidRPr="00F964DF" w:rsidRDefault="00BF63E8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Approve annual </w:t>
      </w:r>
      <w:r w:rsidR="00F964DF">
        <w:rPr>
          <w:rFonts w:ascii="Arial" w:hAnsi="Arial" w:cs="Arial"/>
          <w:sz w:val="20"/>
          <w:szCs w:val="20"/>
          <w:lang w:val="en-US"/>
        </w:rPr>
        <w:t>provision planning;</w:t>
      </w:r>
    </w:p>
    <w:p w:rsidR="00F964DF" w:rsidRPr="007272F4" w:rsidRDefault="00F964DF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Approve additional contracts with suppliers that SIBS Cartões eventually needs to hire.</w:t>
      </w:r>
    </w:p>
    <w:p w:rsidR="00BF63E8" w:rsidRPr="00072484" w:rsidRDefault="00BF63E8" w:rsidP="006868C1">
      <w:pPr>
        <w:pStyle w:val="ListParagraph"/>
        <w:spacing w:after="0" w:line="240" w:lineRule="auto"/>
        <w:ind w:left="0"/>
        <w:jc w:val="both"/>
        <w:rPr>
          <w:rFonts w:ascii="Arial" w:hAnsi="Arial" w:cs="Arial"/>
          <w:i/>
          <w:sz w:val="20"/>
          <w:szCs w:val="20"/>
          <w:lang w:val="en-US"/>
        </w:rPr>
      </w:pPr>
    </w:p>
    <w:p w:rsidR="0075797D" w:rsidRPr="00A860F4" w:rsidRDefault="0075797D" w:rsidP="0021021C">
      <w:pPr>
        <w:pStyle w:val="ListParagraph"/>
        <w:spacing w:after="0" w:line="240" w:lineRule="auto"/>
        <w:ind w:left="360"/>
        <w:rPr>
          <w:rFonts w:ascii="Arial" w:hAnsi="Arial" w:cs="Arial"/>
          <w:i/>
          <w:sz w:val="20"/>
          <w:szCs w:val="20"/>
          <w:lang w:val="en-US"/>
        </w:rPr>
      </w:pPr>
    </w:p>
    <w:p w:rsidR="00A860F4" w:rsidRPr="006D0A83" w:rsidRDefault="00A860F4" w:rsidP="0021021C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From SIBS Cartões</w:t>
      </w:r>
    </w:p>
    <w:p w:rsidR="00884143" w:rsidRDefault="00884143" w:rsidP="006868C1">
      <w:pPr>
        <w:pStyle w:val="ListParagraph"/>
        <w:spacing w:after="0" w:line="240" w:lineRule="auto"/>
        <w:ind w:left="0"/>
        <w:jc w:val="both"/>
        <w:rPr>
          <w:rFonts w:ascii="Arial" w:hAnsi="Arial" w:cs="Arial"/>
          <w:color w:val="1F497D"/>
          <w:sz w:val="20"/>
          <w:szCs w:val="20"/>
          <w:lang w:val="en-US"/>
        </w:rPr>
      </w:pPr>
    </w:p>
    <w:p w:rsidR="004604E1" w:rsidRPr="00F964DF" w:rsidRDefault="00D95FB8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Define</w:t>
      </w:r>
      <w:r w:rsidR="00234D34">
        <w:rPr>
          <w:rFonts w:ascii="Arial" w:hAnsi="Arial" w:cs="Arial"/>
          <w:sz w:val="20"/>
          <w:szCs w:val="20"/>
          <w:lang w:val="en-US"/>
        </w:rPr>
        <w:t xml:space="preserve"> and deliver</w:t>
      </w:r>
      <w:r>
        <w:rPr>
          <w:rFonts w:ascii="Arial" w:hAnsi="Arial" w:cs="Arial"/>
          <w:sz w:val="20"/>
          <w:szCs w:val="20"/>
          <w:lang w:val="en-US"/>
        </w:rPr>
        <w:t xml:space="preserve"> a production plan based on the information provided by PF regarding the card issuing forecast</w:t>
      </w:r>
      <w:r w:rsidR="00234D34">
        <w:rPr>
          <w:rFonts w:ascii="Arial" w:hAnsi="Arial" w:cs="Arial"/>
          <w:sz w:val="20"/>
          <w:szCs w:val="20"/>
          <w:lang w:val="en-US"/>
        </w:rPr>
        <w:t>s</w:t>
      </w:r>
      <w:r w:rsidR="004604E1">
        <w:rPr>
          <w:rFonts w:ascii="Arial" w:hAnsi="Arial" w:cs="Arial"/>
          <w:sz w:val="20"/>
          <w:szCs w:val="20"/>
          <w:lang w:val="en-US"/>
        </w:rPr>
        <w:t>;</w:t>
      </w:r>
    </w:p>
    <w:p w:rsidR="007A7962" w:rsidRPr="00F964DF" w:rsidRDefault="007A7962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Present quarterly production plans;</w:t>
      </w:r>
    </w:p>
    <w:p w:rsidR="004604E1" w:rsidRPr="007A7962" w:rsidRDefault="00ED6146" w:rsidP="006868C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i/>
          <w:iCs/>
          <w:sz w:val="18"/>
          <w:szCs w:val="20"/>
          <w:lang w:val="en-US"/>
        </w:rPr>
      </w:pPr>
      <w:r w:rsidRPr="00072484">
        <w:rPr>
          <w:rFonts w:ascii="Arial" w:hAnsi="Arial" w:cs="Arial"/>
          <w:sz w:val="20"/>
          <w:szCs w:val="20"/>
          <w:lang w:val="en-US"/>
        </w:rPr>
        <w:t xml:space="preserve">If demanded by PF, </w:t>
      </w:r>
      <w:r w:rsidR="00072484" w:rsidRPr="00072484">
        <w:rPr>
          <w:rFonts w:ascii="Arial" w:hAnsi="Arial" w:cs="Arial"/>
          <w:sz w:val="20"/>
          <w:szCs w:val="20"/>
          <w:lang w:val="en-US"/>
        </w:rPr>
        <w:t>provide</w:t>
      </w:r>
      <w:r w:rsidRPr="00072484">
        <w:rPr>
          <w:rFonts w:ascii="Arial" w:hAnsi="Arial" w:cs="Arial"/>
          <w:sz w:val="20"/>
          <w:szCs w:val="20"/>
          <w:lang w:val="en-US"/>
        </w:rPr>
        <w:t xml:space="preserve"> all the materials necessary to card production (envelopes, paper carrier cards and plastic)</w:t>
      </w:r>
      <w:r w:rsidR="00072484" w:rsidRPr="00072484">
        <w:rPr>
          <w:rFonts w:ascii="Arial" w:hAnsi="Arial" w:cs="Arial"/>
          <w:sz w:val="20"/>
          <w:szCs w:val="20"/>
          <w:lang w:val="en-US"/>
        </w:rPr>
        <w:t xml:space="preserve">. </w:t>
      </w:r>
      <w:r w:rsidR="00072484"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 w:rsid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PF</w:t>
      </w:r>
      <w:r w:rsidR="00072484"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is not using this service</w:t>
      </w:r>
      <w:r w:rsid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7A7962" w:rsidRPr="007A7962" w:rsidRDefault="007A7962" w:rsidP="007A796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Present an annual purchases plan regarding materials; 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PF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is not using this service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</w:t>
      </w:r>
    </w:p>
    <w:p w:rsidR="007A7962" w:rsidRPr="007A7962" w:rsidRDefault="007A7962" w:rsidP="00BD1A65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 w:rsidRPr="007A7962">
        <w:rPr>
          <w:rFonts w:ascii="Arial" w:hAnsi="Arial" w:cs="Arial"/>
          <w:sz w:val="20"/>
          <w:szCs w:val="20"/>
          <w:lang w:val="en-US"/>
        </w:rPr>
        <w:t>Provide information about card production and expedition states;</w:t>
      </w:r>
      <w:r w:rsidRPr="007A7962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(This information is available in SIBS Cartões Portal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detailed by </w:t>
      </w:r>
      <w:r w:rsidR="00B0117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file logical sequence</w:t>
      </w:r>
      <w:r w:rsidRPr="007A7962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).</w:t>
      </w:r>
    </w:p>
    <w:p w:rsidR="007A7962" w:rsidRPr="007A7962" w:rsidRDefault="007A7962" w:rsidP="007A7962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i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Provide information about paper, envelopes and plastic stocks.</w:t>
      </w:r>
      <w:r w:rsidRPr="007A7962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</w:t>
      </w:r>
      <w:r w:rsidRPr="00072484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(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Stocks are controlled by </w:t>
      </w:r>
      <w:r w:rsidR="008E4E4F"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>Communication</w:t>
      </w:r>
      <w:r>
        <w:rPr>
          <w:rFonts w:ascii="Arial" w:hAnsi="Arial" w:cs="Arial"/>
          <w:i/>
          <w:iCs/>
          <w:color w:val="4472C4"/>
          <w:sz w:val="18"/>
          <w:szCs w:val="20"/>
          <w:lang w:val="en-US"/>
        </w:rPr>
        <w:t xml:space="preserve"> Dept. that receives from SIBS Cartões a monthly report with the levels of material stocks; the information is also available in SIBS Cartões Portal).</w:t>
      </w:r>
    </w:p>
    <w:p w:rsidR="003275F7" w:rsidRDefault="003275F7" w:rsidP="0021021C">
      <w:pPr>
        <w:pStyle w:val="ListParagraph"/>
        <w:spacing w:after="0" w:line="240" w:lineRule="auto"/>
        <w:ind w:left="0"/>
        <w:rPr>
          <w:rFonts w:ascii="Arial" w:hAnsi="Arial" w:cs="Arial"/>
          <w:color w:val="1F497D"/>
          <w:sz w:val="20"/>
          <w:szCs w:val="20"/>
          <w:lang w:val="en-US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06"/>
        <w:gridCol w:w="9055"/>
      </w:tblGrid>
      <w:tr w:rsidR="00BD1A65" w:rsidRPr="003E4859" w:rsidTr="006868C1">
        <w:tc>
          <w:tcPr>
            <w:tcW w:w="486" w:type="dxa"/>
          </w:tcPr>
          <w:p w:rsidR="00BD1A65" w:rsidRDefault="00BD1A65" w:rsidP="006868C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noProof/>
                <w:lang w:eastAsia="pt-PT"/>
              </w:rPr>
              <w:drawing>
                <wp:inline distT="0" distB="0" distL="0" distR="0" wp14:anchorId="05357D1D" wp14:editId="700D8079">
                  <wp:extent cx="252992" cy="219739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h[1]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78693" cy="24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5" w:type="dxa"/>
            <w:vAlign w:val="center"/>
          </w:tcPr>
          <w:p w:rsidR="006868C1" w:rsidRDefault="00BD1A65" w:rsidP="006868C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SIBS </w:t>
            </w:r>
            <w:r w:rsidR="00B0117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delivers </w:t>
            </w:r>
            <w:r w:rsidR="0005041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 monthly report with the stock levels</w:t>
            </w:r>
            <w:r w:rsidR="00B0117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,</w:t>
            </w:r>
            <w:r w:rsidR="0005041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which contains the alerts concerning the stocks</w:t>
            </w:r>
            <w:r w:rsidR="00B0117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that are</w:t>
            </w:r>
            <w:r w:rsidR="0005041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below the safety level</w:t>
            </w:r>
            <w:r w:rsidRPr="00B463D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 w:rsidR="0005041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6868C1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However can be too late to refill the stock without impact on production. </w:t>
            </w:r>
          </w:p>
          <w:p w:rsidR="00BD1A65" w:rsidRDefault="006868C1" w:rsidP="006868C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T</w:t>
            </w:r>
            <w:r w:rsidR="00B0117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here should be possible to define thresholds by contract, from which SIBS must trigger an alert to PF.</w:t>
            </w:r>
          </w:p>
        </w:tc>
      </w:tr>
    </w:tbl>
    <w:p w:rsidR="00C12C83" w:rsidRDefault="00C12C83" w:rsidP="006868C1">
      <w:pPr>
        <w:pStyle w:val="ListParagraph"/>
        <w:spacing w:after="0" w:line="240" w:lineRule="auto"/>
        <w:ind w:left="0"/>
        <w:jc w:val="both"/>
        <w:rPr>
          <w:rFonts w:ascii="Arial" w:hAnsi="Arial" w:cs="Arial"/>
          <w:color w:val="1F497D"/>
          <w:sz w:val="20"/>
          <w:szCs w:val="20"/>
          <w:lang w:val="en-US"/>
        </w:rPr>
      </w:pPr>
    </w:p>
    <w:p w:rsidR="00C12C83" w:rsidRDefault="00C12C83" w:rsidP="0021021C">
      <w:pPr>
        <w:pStyle w:val="ListParagraph"/>
        <w:spacing w:after="0" w:line="240" w:lineRule="auto"/>
        <w:ind w:left="0"/>
        <w:rPr>
          <w:rFonts w:ascii="Arial" w:hAnsi="Arial" w:cs="Arial"/>
          <w:color w:val="1F497D"/>
          <w:sz w:val="20"/>
          <w:szCs w:val="20"/>
          <w:lang w:val="en-US"/>
        </w:rPr>
      </w:pPr>
    </w:p>
    <w:p w:rsidR="00C12C83" w:rsidRDefault="00C12C83" w:rsidP="00C12C83">
      <w:pPr>
        <w:pStyle w:val="ListParagraph"/>
        <w:numPr>
          <w:ilvl w:val="1"/>
          <w:numId w:val="19"/>
        </w:numPr>
        <w:spacing w:after="0" w:line="240" w:lineRule="auto"/>
        <w:rPr>
          <w:rFonts w:ascii="Arial" w:hAnsi="Arial" w:cs="Arial"/>
          <w:bCs/>
          <w:i/>
          <w:sz w:val="20"/>
          <w:szCs w:val="20"/>
          <w:lang w:val="en-US"/>
        </w:rPr>
      </w:pPr>
      <w:r w:rsidRPr="00C12C83">
        <w:rPr>
          <w:rFonts w:ascii="Arial" w:hAnsi="Arial" w:cs="Arial"/>
          <w:bCs/>
          <w:i/>
          <w:sz w:val="20"/>
          <w:szCs w:val="20"/>
          <w:lang w:val="en-US"/>
        </w:rPr>
        <w:lastRenderedPageBreak/>
        <w:t>Forecast</w:t>
      </w:r>
      <w:r w:rsidR="00196886">
        <w:rPr>
          <w:rFonts w:ascii="Arial" w:hAnsi="Arial" w:cs="Arial"/>
          <w:bCs/>
          <w:i/>
          <w:sz w:val="20"/>
          <w:szCs w:val="20"/>
          <w:lang w:val="en-US"/>
        </w:rPr>
        <w:t>s</w:t>
      </w:r>
      <w:r w:rsidRPr="00C12C83">
        <w:rPr>
          <w:rFonts w:ascii="Arial" w:hAnsi="Arial" w:cs="Arial"/>
          <w:bCs/>
          <w:i/>
          <w:sz w:val="20"/>
          <w:szCs w:val="20"/>
          <w:lang w:val="en-US"/>
        </w:rPr>
        <w:t xml:space="preserve"> for 2017</w:t>
      </w:r>
    </w:p>
    <w:p w:rsidR="00196886" w:rsidRDefault="00196886" w:rsidP="00196886">
      <w:pPr>
        <w:pStyle w:val="ListParagraph"/>
        <w:spacing w:after="0" w:line="240" w:lineRule="auto"/>
        <w:ind w:left="360"/>
        <w:rPr>
          <w:rFonts w:ascii="Arial" w:hAnsi="Arial" w:cs="Arial"/>
          <w:bCs/>
          <w:i/>
          <w:sz w:val="20"/>
          <w:szCs w:val="20"/>
          <w:lang w:val="en-US"/>
        </w:rPr>
      </w:pPr>
    </w:p>
    <w:p w:rsidR="00196886" w:rsidRDefault="00196886" w:rsidP="00196886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  <w:bCs/>
          <w:i/>
          <w:sz w:val="20"/>
          <w:szCs w:val="20"/>
          <w:lang w:val="en-US"/>
        </w:rPr>
      </w:pPr>
      <w:r>
        <w:rPr>
          <w:rFonts w:ascii="Arial" w:hAnsi="Arial" w:cs="Arial"/>
          <w:bCs/>
          <w:i/>
          <w:sz w:val="20"/>
          <w:szCs w:val="20"/>
          <w:lang w:val="en-US"/>
        </w:rPr>
        <w:t>New Cards Issue</w:t>
      </w:r>
    </w:p>
    <w:p w:rsidR="00C12C83" w:rsidRPr="00C12C83" w:rsidRDefault="00C12C83" w:rsidP="00C12C83">
      <w:pPr>
        <w:spacing w:after="0" w:line="240" w:lineRule="auto"/>
        <w:rPr>
          <w:rFonts w:ascii="Arial" w:hAnsi="Arial" w:cs="Arial"/>
          <w:bCs/>
          <w:i/>
          <w:sz w:val="20"/>
          <w:szCs w:val="20"/>
          <w:lang w:val="en-US"/>
        </w:rPr>
      </w:pPr>
    </w:p>
    <w:tbl>
      <w:tblPr>
        <w:tblW w:w="999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68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69"/>
        <w:gridCol w:w="698"/>
      </w:tblGrid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jan-17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A80DBC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feb</w:t>
            </w:r>
            <w:r w:rsidR="006535DB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mar-17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A80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a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p</w:t>
            </w: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r-17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A80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ma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y</w:t>
            </w: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jun-17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jul-17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A80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a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ug</w:t>
            </w: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A80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se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p</w:t>
            </w: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A80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o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c</w:t>
            </w: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t-17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nov-17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6535DB" w:rsidRPr="00F90E5F" w:rsidRDefault="006535DB" w:rsidP="00A80D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de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c</w:t>
            </w: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-17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val="en-US" w:eastAsia="pt-PT"/>
              </w:rPr>
              <w:t>Total</w:t>
            </w:r>
          </w:p>
        </w:tc>
        <w:tc>
          <w:tcPr>
            <w:tcW w:w="698" w:type="dxa"/>
            <w:tcBorders>
              <w:top w:val="single" w:sz="4" w:space="0" w:color="9BC2E6"/>
              <w:left w:val="nil"/>
              <w:bottom w:val="nil"/>
              <w:right w:val="single" w:sz="4" w:space="0" w:color="9BC2E6"/>
            </w:tcBorders>
            <w:shd w:val="clear" w:color="000000" w:fill="A6A6A6"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 w:eastAsia="pt-PT"/>
              </w:rPr>
              <w:t>Distrib</w:t>
            </w:r>
            <w:r w:rsidR="00A80DBC"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 w:eastAsia="pt-PT"/>
              </w:rPr>
              <w:t>ution</w:t>
            </w:r>
          </w:p>
        </w:tc>
        <w:tc>
          <w:tcPr>
            <w:tcW w:w="68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 w:eastAsia="pt-PT"/>
              </w:rPr>
              <w:t xml:space="preserve">7.430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val="en-US" w:eastAsia="pt-PT"/>
              </w:rPr>
              <w:t xml:space="preserve">8.431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8.027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8.042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7.768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8.104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8.150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8.850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10.059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8.665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9.320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10.725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103.571 </w:t>
            </w:r>
          </w:p>
        </w:tc>
        <w:tc>
          <w:tcPr>
            <w:tcW w:w="69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93,22%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IKEA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1.600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17.950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16,16%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CONFORAMA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1.220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15.320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13,79%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RP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2.129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2.817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2.082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2.459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3.000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27.587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24,83%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JOM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196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193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185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192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198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204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215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225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2.428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2,19%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FNAC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1.514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1.555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1.581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2.100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21.550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19,40%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Salvador Caetano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491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566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579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6.586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5,93%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Media </w:t>
            </w:r>
            <w:proofErr w:type="spellStart"/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Markt</w:t>
            </w:r>
            <w:proofErr w:type="spellEnd"/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9.450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8,51%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Outros</w:t>
            </w:r>
          </w:p>
        </w:tc>
        <w:tc>
          <w:tcPr>
            <w:tcW w:w="68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250 </w:t>
            </w:r>
          </w:p>
        </w:tc>
        <w:tc>
          <w:tcPr>
            <w:tcW w:w="605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2.700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2,43%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A80DBC" w:rsidP="006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Direct</w:t>
            </w:r>
            <w:proofErr w:type="spellEnd"/>
          </w:p>
        </w:tc>
        <w:tc>
          <w:tcPr>
            <w:tcW w:w="68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276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300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3.576 </w:t>
            </w:r>
          </w:p>
        </w:tc>
        <w:tc>
          <w:tcPr>
            <w:tcW w:w="69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3,22%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NCP</w:t>
            </w:r>
          </w:p>
        </w:tc>
        <w:tc>
          <w:tcPr>
            <w:tcW w:w="68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3.961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3.948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3.935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3.922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3.909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4.493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4.020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2.631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3.310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2.850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4.335 </w:t>
            </w:r>
          </w:p>
        </w:tc>
        <w:tc>
          <w:tcPr>
            <w:tcW w:w="605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2.826 </w:t>
            </w:r>
          </w:p>
        </w:tc>
        <w:tc>
          <w:tcPr>
            <w:tcW w:w="669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3.961 </w:t>
            </w:r>
          </w:p>
        </w:tc>
        <w:tc>
          <w:tcPr>
            <w:tcW w:w="698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3,56%</w:t>
            </w:r>
          </w:p>
        </w:tc>
      </w:tr>
      <w:tr w:rsidR="006535DB" w:rsidRPr="006535DB" w:rsidTr="00F90E5F">
        <w:tc>
          <w:tcPr>
            <w:tcW w:w="1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TOTAL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11.667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12.679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12.262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12.264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11.977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12.897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12.470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11.781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13.669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11.815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13.955 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13.851 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111.108 </w:t>
            </w: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5DB" w:rsidRPr="00F90E5F" w:rsidRDefault="006535DB" w:rsidP="006535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F90E5F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100,00%</w:t>
            </w:r>
          </w:p>
        </w:tc>
      </w:tr>
    </w:tbl>
    <w:p w:rsidR="00C12C83" w:rsidRDefault="00C12C83" w:rsidP="00C12C83">
      <w:pPr>
        <w:pStyle w:val="ListParagraph"/>
        <w:spacing w:after="0" w:line="240" w:lineRule="auto"/>
        <w:ind w:left="0"/>
        <w:rPr>
          <w:rFonts w:ascii="Arial" w:hAnsi="Arial" w:cs="Arial"/>
          <w:color w:val="1F497D"/>
          <w:sz w:val="20"/>
          <w:szCs w:val="20"/>
          <w:lang w:val="en-US"/>
        </w:rPr>
      </w:pPr>
    </w:p>
    <w:p w:rsidR="003350CB" w:rsidRDefault="003350CB" w:rsidP="00196886">
      <w:pPr>
        <w:pStyle w:val="ListParagraph"/>
        <w:numPr>
          <w:ilvl w:val="2"/>
          <w:numId w:val="19"/>
        </w:numPr>
        <w:spacing w:after="0" w:line="240" w:lineRule="auto"/>
        <w:rPr>
          <w:rFonts w:ascii="Arial" w:hAnsi="Arial" w:cs="Arial"/>
          <w:bCs/>
          <w:i/>
          <w:sz w:val="20"/>
          <w:szCs w:val="20"/>
          <w:lang w:val="en-US"/>
        </w:rPr>
      </w:pPr>
      <w:r w:rsidRPr="00C12C83">
        <w:rPr>
          <w:rFonts w:ascii="Arial" w:hAnsi="Arial" w:cs="Arial"/>
          <w:bCs/>
          <w:i/>
          <w:sz w:val="20"/>
          <w:szCs w:val="20"/>
          <w:lang w:val="en-US"/>
        </w:rPr>
        <w:t xml:space="preserve">Card </w:t>
      </w:r>
      <w:r>
        <w:rPr>
          <w:rFonts w:ascii="Arial" w:hAnsi="Arial" w:cs="Arial"/>
          <w:bCs/>
          <w:i/>
          <w:sz w:val="20"/>
          <w:szCs w:val="20"/>
          <w:lang w:val="en-US"/>
        </w:rPr>
        <w:t>Renewals</w:t>
      </w:r>
      <w:r w:rsidRPr="00C12C83">
        <w:rPr>
          <w:rFonts w:ascii="Arial" w:hAnsi="Arial" w:cs="Arial"/>
          <w:bCs/>
          <w:i/>
          <w:sz w:val="20"/>
          <w:szCs w:val="20"/>
          <w:lang w:val="en-US"/>
        </w:rPr>
        <w:t xml:space="preserve"> </w:t>
      </w:r>
    </w:p>
    <w:p w:rsidR="003350CB" w:rsidRDefault="003350CB" w:rsidP="00C12C83">
      <w:pPr>
        <w:pStyle w:val="ListParagraph"/>
        <w:spacing w:after="0" w:line="240" w:lineRule="auto"/>
        <w:ind w:left="0"/>
        <w:rPr>
          <w:rFonts w:ascii="Arial" w:hAnsi="Arial" w:cs="Arial"/>
          <w:color w:val="1F497D"/>
          <w:sz w:val="20"/>
          <w:szCs w:val="20"/>
          <w:lang w:val="en-US"/>
        </w:rPr>
      </w:pPr>
    </w:p>
    <w:tbl>
      <w:tblPr>
        <w:tblW w:w="9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570"/>
        <w:gridCol w:w="619"/>
        <w:gridCol w:w="619"/>
        <w:gridCol w:w="619"/>
        <w:gridCol w:w="632"/>
        <w:gridCol w:w="619"/>
        <w:gridCol w:w="619"/>
        <w:gridCol w:w="619"/>
        <w:gridCol w:w="619"/>
        <w:gridCol w:w="619"/>
        <w:gridCol w:w="619"/>
        <w:gridCol w:w="619"/>
        <w:gridCol w:w="681"/>
        <w:gridCol w:w="693"/>
      </w:tblGrid>
      <w:tr w:rsidR="00EF2DAC" w:rsidRPr="00EF2DAC" w:rsidTr="00EF2DAC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jan-17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feb-17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mar-17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apr-17</w:t>
            </w:r>
            <w:proofErr w:type="gramEnd"/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may-17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jun-17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jul-17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aug-17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sep-17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oct-17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nov-17</w:t>
            </w:r>
            <w:proofErr w:type="gramEnd"/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proofErr w:type="gramStart"/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dec-17</w:t>
            </w:r>
            <w:proofErr w:type="gramEnd"/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Total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single" w:sz="4" w:space="0" w:color="9BC2E6"/>
            </w:tcBorders>
            <w:shd w:val="clear" w:color="000000" w:fill="A6A6A6"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20"/>
                <w:lang w:eastAsia="pt-PT"/>
              </w:rPr>
              <w:t>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Distribution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4.196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7.033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8.198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7.979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11.017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9.922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7.551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11.594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11.628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13.601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12.751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10.070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115.540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50,05%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Conforama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360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621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597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821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1.049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505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1.135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992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1.498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1.088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1.192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10.559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4,57%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Confort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46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445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0,19%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Euronics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61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146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78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1.222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0,53%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Fnac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1.466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4.212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2.534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2.411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3.107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2.770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2.209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4.269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2.500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3.459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5.005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2.457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36.399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15,77%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IKEA</w:t>
            </w:r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992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933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1.820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1.794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2.298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2.773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1.780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2.481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2.582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2.820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1.787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2.081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24.141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10,46%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Moviflor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148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406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1.533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353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67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156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244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341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3.911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1,69%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Renault</w:t>
            </w:r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 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0,02%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RP ON</w:t>
            </w:r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1.172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1.022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2.828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2.612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2.891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2.773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2.853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3.305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4.975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5.246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4.538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3.792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38.007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16,46%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Tien</w:t>
            </w:r>
            <w:proofErr w:type="spellEnd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 21</w:t>
            </w:r>
          </w:p>
        </w:tc>
        <w:tc>
          <w:tcPr>
            <w:tcW w:w="57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52 </w:t>
            </w:r>
          </w:p>
        </w:tc>
        <w:tc>
          <w:tcPr>
            <w:tcW w:w="632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60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63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91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89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98 </w:t>
            </w:r>
          </w:p>
        </w:tc>
        <w:tc>
          <w:tcPr>
            <w:tcW w:w="61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71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801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0,35%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Direct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712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829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1.640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1.445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1.590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2.783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843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2.455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7.888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3.077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1.115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1.954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26.331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11,41%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Black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127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169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167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1.912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0,83%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Cetelem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1.105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958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1.080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1.138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575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1.075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1.380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1.466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649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1.116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11.377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4,93%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Cetelem</w:t>
            </w:r>
            <w:proofErr w:type="spellEnd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 (</w:t>
            </w: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Credial</w:t>
            </w:r>
            <w:proofErr w:type="spellEnd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)</w:t>
            </w:r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191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212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142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56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160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1.881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0,81%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Green</w:t>
            </w:r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22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25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17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123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0,05%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ind w:firstLineChars="100" w:firstLine="140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proofErr w:type="spellStart"/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White</w:t>
            </w:r>
            <w:proofErr w:type="spellEnd"/>
          </w:p>
        </w:tc>
        <w:tc>
          <w:tcPr>
            <w:tcW w:w="570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78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139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169 </w:t>
            </w:r>
          </w:p>
        </w:tc>
        <w:tc>
          <w:tcPr>
            <w:tcW w:w="632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201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1.176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1.073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6.110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1.159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297 </w:t>
            </w:r>
          </w:p>
        </w:tc>
        <w:tc>
          <w:tcPr>
            <w:tcW w:w="619" w:type="dxa"/>
            <w:tcBorders>
              <w:top w:val="single" w:sz="4" w:space="0" w:color="9BC2E6"/>
              <w:left w:val="single" w:sz="4" w:space="0" w:color="9BC2E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494 </w:t>
            </w:r>
          </w:p>
        </w:tc>
        <w:tc>
          <w:tcPr>
            <w:tcW w:w="681" w:type="dxa"/>
            <w:tcBorders>
              <w:top w:val="single" w:sz="4" w:space="0" w:color="9BC2E6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11.038 </w:t>
            </w:r>
          </w:p>
        </w:tc>
        <w:tc>
          <w:tcPr>
            <w:tcW w:w="693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4,78%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SONAE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3.336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3.350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6.634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8.599 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8.712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7.376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7.441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8.518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8.246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8.633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10.993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7.147 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88.985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38,55%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CONTINENTE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295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268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272 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281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281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270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231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185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230 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3.104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1,34%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SPORTZONE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243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498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342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399 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730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407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461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639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474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302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551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266 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5.312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2,30%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WORTEN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2.798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2.584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6.021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7.928 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7.701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6.691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6.699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7.609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7.530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8.100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10.257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6.651 </w:t>
            </w:r>
          </w:p>
        </w:tc>
        <w:tc>
          <w:tcPr>
            <w:tcW w:w="68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 xml:space="preserve">80.569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>34,90%</w:t>
            </w:r>
          </w:p>
        </w:tc>
      </w:tr>
      <w:tr w:rsidR="00EF2DAC" w:rsidRPr="00EF2DAC" w:rsidTr="00EF2DAC"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lang w:eastAsia="pt-PT"/>
              </w:rPr>
              <w:t>TOTAL</w:t>
            </w:r>
          </w:p>
        </w:tc>
        <w:tc>
          <w:tcPr>
            <w:tcW w:w="5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8.244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11.212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16.472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18.023 </w:t>
            </w:r>
          </w:p>
        </w:tc>
        <w:tc>
          <w:tcPr>
            <w:tcW w:w="63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21.319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20.081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15.835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22.567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27.762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25.311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24.859 </w:t>
            </w:r>
          </w:p>
        </w:tc>
        <w:tc>
          <w:tcPr>
            <w:tcW w:w="6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19.171 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20"/>
                <w:lang w:eastAsia="pt-PT"/>
              </w:rPr>
              <w:t xml:space="preserve">230.856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DAC" w:rsidRPr="00EF2DAC" w:rsidRDefault="00EF2DAC" w:rsidP="00EF2DA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</w:pPr>
            <w:r w:rsidRPr="00EF2DAC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PT"/>
              </w:rPr>
              <w:t>100,00%</w:t>
            </w:r>
          </w:p>
        </w:tc>
      </w:tr>
    </w:tbl>
    <w:p w:rsidR="00EF2DAC" w:rsidRPr="00EE24E7" w:rsidRDefault="00EF2DAC" w:rsidP="00C12C83">
      <w:pPr>
        <w:pStyle w:val="ListParagraph"/>
        <w:spacing w:after="0" w:line="240" w:lineRule="auto"/>
        <w:ind w:left="0"/>
        <w:rPr>
          <w:rFonts w:ascii="Arial" w:hAnsi="Arial" w:cs="Arial"/>
          <w:color w:val="1F497D"/>
          <w:sz w:val="20"/>
          <w:szCs w:val="20"/>
          <w:lang w:val="en-US"/>
        </w:rPr>
      </w:pPr>
    </w:p>
    <w:p w:rsidR="00783A13" w:rsidRPr="00661285" w:rsidRDefault="00783A13" w:rsidP="0021021C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D56082" w:rsidRPr="00661285" w:rsidRDefault="00D56082" w:rsidP="00D56082">
      <w:pPr>
        <w:pBdr>
          <w:bottom w:val="single" w:sz="12" w:space="1" w:color="008080"/>
        </w:pBdr>
        <w:spacing w:after="0" w:line="240" w:lineRule="auto"/>
        <w:rPr>
          <w:rFonts w:ascii="Arial" w:hAnsi="Arial" w:cs="Arial"/>
          <w:b/>
          <w:color w:val="008080"/>
        </w:rPr>
      </w:pPr>
      <w:proofErr w:type="spellStart"/>
      <w:r w:rsidRPr="00661285">
        <w:rPr>
          <w:rFonts w:ascii="Arial" w:hAnsi="Arial" w:cs="Arial"/>
          <w:b/>
          <w:color w:val="008080"/>
        </w:rPr>
        <w:t>Reference</w:t>
      </w:r>
      <w:proofErr w:type="spellEnd"/>
      <w:r w:rsidRPr="00661285">
        <w:rPr>
          <w:rFonts w:ascii="Arial" w:hAnsi="Arial" w:cs="Arial"/>
          <w:b/>
          <w:color w:val="008080"/>
        </w:rPr>
        <w:t xml:space="preserve"> </w:t>
      </w:r>
      <w:proofErr w:type="spellStart"/>
      <w:r w:rsidRPr="00661285">
        <w:rPr>
          <w:rFonts w:ascii="Arial" w:hAnsi="Arial" w:cs="Arial"/>
          <w:b/>
          <w:color w:val="008080"/>
        </w:rPr>
        <w:t>Documents</w:t>
      </w:r>
      <w:proofErr w:type="spellEnd"/>
    </w:p>
    <w:p w:rsidR="00767C3A" w:rsidRPr="00EE24E7" w:rsidRDefault="00767C3A" w:rsidP="0021021C">
      <w:pPr>
        <w:spacing w:after="0" w:line="240" w:lineRule="auto"/>
        <w:rPr>
          <w:rFonts w:ascii="Arial" w:hAnsi="Arial" w:cs="Arial"/>
          <w:b/>
          <w:color w:val="008080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32"/>
        <w:gridCol w:w="6301"/>
        <w:gridCol w:w="1978"/>
      </w:tblGrid>
      <w:tr w:rsidR="00D56082" w:rsidRPr="00A174F0" w:rsidTr="00497598">
        <w:tc>
          <w:tcPr>
            <w:tcW w:w="1632" w:type="dxa"/>
          </w:tcPr>
          <w:p w:rsidR="00D56082" w:rsidRPr="00A174F0" w:rsidRDefault="00116A7A" w:rsidP="00D56082">
            <w:pPr>
              <w:rPr>
                <w:rFonts w:ascii="Arial" w:hAnsi="Arial" w:cs="Arial"/>
                <w:sz w:val="16"/>
                <w:szCs w:val="20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20"/>
                <w:lang w:val="fr-FR"/>
              </w:rPr>
              <w:t>Service</w:t>
            </w:r>
            <w:r w:rsidR="00D56082" w:rsidRPr="00A174F0">
              <w:rPr>
                <w:rFonts w:ascii="Arial" w:hAnsi="Arial" w:cs="Arial"/>
                <w:bCs/>
                <w:sz w:val="16"/>
                <w:szCs w:val="20"/>
                <w:lang w:val="fr-FR"/>
              </w:rPr>
              <w:t xml:space="preserve"> </w:t>
            </w:r>
            <w:proofErr w:type="spellStart"/>
            <w:r w:rsidR="00D56082" w:rsidRPr="00A174F0">
              <w:rPr>
                <w:rFonts w:ascii="Arial" w:hAnsi="Arial" w:cs="Arial"/>
                <w:bCs/>
                <w:sz w:val="16"/>
                <w:szCs w:val="20"/>
                <w:lang w:val="fr-FR"/>
              </w:rPr>
              <w:t>Contract</w:t>
            </w:r>
            <w:proofErr w:type="spellEnd"/>
          </w:p>
          <w:p w:rsidR="00D56082" w:rsidRPr="00A174F0" w:rsidRDefault="00D56082" w:rsidP="00D56082">
            <w:pPr>
              <w:rPr>
                <w:rFonts w:ascii="Arial" w:hAnsi="Arial" w:cs="Arial"/>
                <w:bCs/>
                <w:sz w:val="16"/>
                <w:szCs w:val="20"/>
                <w:lang w:val="fr-FR"/>
              </w:rPr>
            </w:pPr>
          </w:p>
        </w:tc>
        <w:tc>
          <w:tcPr>
            <w:tcW w:w="6301" w:type="dxa"/>
          </w:tcPr>
          <w:p w:rsidR="00D56082" w:rsidRDefault="00D56082" w:rsidP="00D56082">
            <w:pPr>
              <w:rPr>
                <w:rFonts w:ascii="Arial" w:hAnsi="Arial" w:cs="Arial"/>
                <w:sz w:val="16"/>
                <w:szCs w:val="20"/>
              </w:rPr>
            </w:pPr>
            <w:r w:rsidRPr="00D56082">
              <w:rPr>
                <w:rFonts w:ascii="Arial" w:hAnsi="Arial" w:cs="Arial"/>
                <w:sz w:val="16"/>
                <w:szCs w:val="20"/>
              </w:rPr>
              <w:t>Contrato_SIBS_Cartoes_v2009</w:t>
            </w:r>
            <w:r>
              <w:rPr>
                <w:rFonts w:ascii="Arial" w:hAnsi="Arial" w:cs="Arial"/>
                <w:sz w:val="16"/>
                <w:szCs w:val="20"/>
              </w:rPr>
              <w:t>06</w:t>
            </w:r>
            <w:r w:rsidRPr="00D56082">
              <w:rPr>
                <w:rFonts w:ascii="Arial" w:hAnsi="Arial" w:cs="Arial"/>
                <w:sz w:val="16"/>
                <w:szCs w:val="20"/>
              </w:rPr>
              <w:t>24</w:t>
            </w:r>
            <w:r>
              <w:rPr>
                <w:rFonts w:ascii="Arial" w:hAnsi="Arial" w:cs="Arial"/>
                <w:sz w:val="16"/>
                <w:szCs w:val="20"/>
              </w:rPr>
              <w:t>.pdf</w:t>
            </w:r>
            <w:r w:rsidR="00497598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:rsidR="00497598" w:rsidRDefault="00497598" w:rsidP="00D56082">
            <w:pPr>
              <w:rPr>
                <w:rFonts w:ascii="Arial" w:hAnsi="Arial" w:cs="Arial"/>
                <w:sz w:val="16"/>
                <w:szCs w:val="20"/>
              </w:rPr>
            </w:pPr>
          </w:p>
          <w:p w:rsidR="00497598" w:rsidRPr="00A174F0" w:rsidRDefault="00497598" w:rsidP="00D56082">
            <w:pPr>
              <w:rPr>
                <w:rFonts w:ascii="Arial" w:hAnsi="Arial" w:cs="Arial"/>
                <w:b/>
                <w:bCs/>
                <w:sz w:val="16"/>
                <w:szCs w:val="20"/>
              </w:rPr>
            </w:pPr>
          </w:p>
        </w:tc>
        <w:tc>
          <w:tcPr>
            <w:tcW w:w="1978" w:type="dxa"/>
          </w:tcPr>
          <w:p w:rsidR="00D56082" w:rsidRPr="00A174F0" w:rsidRDefault="002C33AD" w:rsidP="00D56082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b/>
                <w:bCs/>
                <w:sz w:val="16"/>
                <w:szCs w:val="20"/>
              </w:rPr>
              <w:object w:dxaOrig="1531" w:dyaOrig="9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5pt;height:50.1pt" o:ole="">
                  <v:imagedata r:id="rId16" o:title=""/>
                </v:shape>
                <o:OLEObject Type="Embed" ProgID="AcroExch.Document.DC" ShapeID="_x0000_i1025" DrawAspect="Icon" ObjectID="_1550662587" r:id="rId17"/>
              </w:object>
            </w:r>
          </w:p>
        </w:tc>
      </w:tr>
    </w:tbl>
    <w:p w:rsidR="00D56082" w:rsidRDefault="00D56082" w:rsidP="00116A7A">
      <w:pPr>
        <w:spacing w:after="0" w:line="240" w:lineRule="auto"/>
        <w:rPr>
          <w:rFonts w:ascii="Arial" w:hAnsi="Arial" w:cs="Arial"/>
          <w:b/>
          <w:color w:val="008080"/>
        </w:rPr>
      </w:pPr>
    </w:p>
    <w:sectPr w:rsidR="00D56082" w:rsidSect="00324C63">
      <w:footerReference w:type="default" r:id="rId18"/>
      <w:pgSz w:w="11906" w:h="16838"/>
      <w:pgMar w:top="1021" w:right="964" w:bottom="1021" w:left="1021" w:header="709" w:footer="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BC5" w:rsidRDefault="00EA5BC5" w:rsidP="002E5139">
      <w:pPr>
        <w:spacing w:after="0" w:line="240" w:lineRule="auto"/>
      </w:pPr>
      <w:r>
        <w:separator/>
      </w:r>
    </w:p>
  </w:endnote>
  <w:endnote w:type="continuationSeparator" w:id="0">
    <w:p w:rsidR="00EA5BC5" w:rsidRDefault="00EA5BC5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02"/>
      <w:gridCol w:w="2819"/>
    </w:tblGrid>
    <w:tr w:rsidR="00EA5BC5" w:rsidRPr="00700A4A" w:rsidTr="00BD1A65">
      <w:tc>
        <w:tcPr>
          <w:tcW w:w="7102" w:type="dxa"/>
        </w:tcPr>
        <w:p w:rsidR="00EA5BC5" w:rsidRDefault="00EA5BC5" w:rsidP="00324C63">
          <w:pPr>
            <w:pStyle w:val="Footer"/>
            <w:rPr>
              <w:rFonts w:ascii="Arial" w:hAnsi="Arial" w:cs="Arial"/>
              <w:sz w:val="16"/>
            </w:rPr>
          </w:pPr>
          <w:r w:rsidRPr="00EE0D06">
            <w:rPr>
              <w:rFonts w:ascii="Arial" w:hAnsi="Arial" w:cs="Arial"/>
              <w:sz w:val="16"/>
            </w:rPr>
            <w:fldChar w:fldCharType="begin"/>
          </w:r>
          <w:r w:rsidRPr="00EE0D06">
            <w:rPr>
              <w:rFonts w:ascii="Arial" w:hAnsi="Arial" w:cs="Arial"/>
              <w:sz w:val="16"/>
            </w:rPr>
            <w:instrText xml:space="preserve"> FILENAME   \* MERGEFORMAT </w:instrText>
          </w:r>
          <w:r w:rsidRPr="00EE0D06">
            <w:rPr>
              <w:rFonts w:ascii="Arial" w:hAnsi="Arial" w:cs="Arial"/>
              <w:sz w:val="16"/>
            </w:rPr>
            <w:fldChar w:fldCharType="separate"/>
          </w:r>
          <w:r w:rsidR="00731A12">
            <w:rPr>
              <w:rFonts w:ascii="Arial" w:hAnsi="Arial" w:cs="Arial"/>
              <w:noProof/>
              <w:sz w:val="16"/>
            </w:rPr>
            <w:t>SIBSCartoes_1QCommittee_Agenda_20170309.docx</w:t>
          </w:r>
          <w:r w:rsidRPr="00EE0D06">
            <w:rPr>
              <w:rFonts w:ascii="Arial" w:hAnsi="Arial" w:cs="Arial"/>
              <w:sz w:val="16"/>
            </w:rPr>
            <w:fldChar w:fldCharType="end"/>
          </w:r>
        </w:p>
        <w:p w:rsidR="00EA5BC5" w:rsidRDefault="00EA5BC5" w:rsidP="00324C63">
          <w:pPr>
            <w:pStyle w:val="Footer"/>
            <w:rPr>
              <w:rFonts w:ascii="Arial" w:hAnsi="Arial" w:cs="Arial"/>
              <w:sz w:val="16"/>
            </w:rPr>
          </w:pPr>
        </w:p>
        <w:p w:rsidR="00EA5BC5" w:rsidRDefault="00EA5BC5" w:rsidP="00324C63">
          <w:pPr>
            <w:pStyle w:val="Footer"/>
          </w:pPr>
          <w:r w:rsidRPr="002C5A78">
            <w:rPr>
              <w:sz w:val="12"/>
            </w:rPr>
            <w:t xml:space="preserve">Qualquer reprodução integral ou parcial realizada sem autorização expressa do BNP </w:t>
          </w:r>
          <w:proofErr w:type="spellStart"/>
          <w:r w:rsidRPr="002C5A78">
            <w:rPr>
              <w:sz w:val="12"/>
            </w:rPr>
            <w:t>Paribas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Personal</w:t>
          </w:r>
          <w:proofErr w:type="spellEnd"/>
          <w:r w:rsidRPr="002C5A78">
            <w:rPr>
              <w:sz w:val="12"/>
            </w:rPr>
            <w:t xml:space="preserve"> </w:t>
          </w:r>
          <w:proofErr w:type="spellStart"/>
          <w:r w:rsidRPr="002C5A78">
            <w:rPr>
              <w:sz w:val="12"/>
            </w:rPr>
            <w:t>Finance</w:t>
          </w:r>
          <w:proofErr w:type="spellEnd"/>
          <w:r w:rsidRPr="002C5A78">
            <w:rPr>
              <w:sz w:val="12"/>
            </w:rPr>
            <w:t xml:space="preserve"> Portugal é ilícita.</w:t>
          </w:r>
        </w:p>
      </w:tc>
      <w:tc>
        <w:tcPr>
          <w:tcW w:w="2819" w:type="dxa"/>
        </w:tcPr>
        <w:p w:rsidR="00EA5BC5" w:rsidRPr="00700A4A" w:rsidRDefault="00EA5BC5" w:rsidP="00700A4A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731A12">
            <w:rPr>
              <w:noProof/>
              <w:sz w:val="18"/>
            </w:rPr>
            <w:t>2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731A12">
            <w:rPr>
              <w:noProof/>
              <w:sz w:val="18"/>
            </w:rPr>
            <w:t>6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EA5BC5" w:rsidRDefault="00EA5BC5" w:rsidP="00324C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BC5" w:rsidRDefault="00EA5BC5" w:rsidP="002E5139">
      <w:pPr>
        <w:spacing w:after="0" w:line="240" w:lineRule="auto"/>
      </w:pPr>
      <w:r>
        <w:separator/>
      </w:r>
    </w:p>
  </w:footnote>
  <w:footnote w:type="continuationSeparator" w:id="0">
    <w:p w:rsidR="00EA5BC5" w:rsidRDefault="00EA5BC5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4C2A"/>
    <w:multiLevelType w:val="hybridMultilevel"/>
    <w:tmpl w:val="3876645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00504"/>
    <w:multiLevelType w:val="hybridMultilevel"/>
    <w:tmpl w:val="C1904EE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5736E"/>
    <w:multiLevelType w:val="multilevel"/>
    <w:tmpl w:val="A282D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146B42"/>
    <w:multiLevelType w:val="hybridMultilevel"/>
    <w:tmpl w:val="048E05F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420A61"/>
    <w:multiLevelType w:val="hybridMultilevel"/>
    <w:tmpl w:val="C9FEC3C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F101CA"/>
    <w:multiLevelType w:val="multilevel"/>
    <w:tmpl w:val="C42A3B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C76F9"/>
    <w:multiLevelType w:val="multilevel"/>
    <w:tmpl w:val="ED1028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5A27B97"/>
    <w:multiLevelType w:val="hybridMultilevel"/>
    <w:tmpl w:val="4D7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93A40"/>
    <w:multiLevelType w:val="hybridMultilevel"/>
    <w:tmpl w:val="48BCE1D2"/>
    <w:lvl w:ilvl="0" w:tplc="C6705A44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1E259A"/>
    <w:multiLevelType w:val="hybridMultilevel"/>
    <w:tmpl w:val="84D67C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9"/>
  </w:num>
  <w:num w:numId="5">
    <w:abstractNumId w:val="2"/>
  </w:num>
  <w:num w:numId="6">
    <w:abstractNumId w:val="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3"/>
  </w:num>
  <w:num w:numId="13">
    <w:abstractNumId w:val="14"/>
  </w:num>
  <w:num w:numId="14">
    <w:abstractNumId w:val="11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4"/>
  </w:num>
  <w:num w:numId="20">
    <w:abstractNumId w:val="1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461"/>
    <w:rsid w:val="000140F2"/>
    <w:rsid w:val="0005041A"/>
    <w:rsid w:val="00055216"/>
    <w:rsid w:val="00055AB3"/>
    <w:rsid w:val="00072484"/>
    <w:rsid w:val="00073B15"/>
    <w:rsid w:val="000A31A6"/>
    <w:rsid w:val="000A3ADE"/>
    <w:rsid w:val="000B3AEA"/>
    <w:rsid w:val="000B6EEB"/>
    <w:rsid w:val="000E0C29"/>
    <w:rsid w:val="001138F5"/>
    <w:rsid w:val="00116A7A"/>
    <w:rsid w:val="001230C6"/>
    <w:rsid w:val="0013522B"/>
    <w:rsid w:val="001425B5"/>
    <w:rsid w:val="00145799"/>
    <w:rsid w:val="00166E91"/>
    <w:rsid w:val="00171290"/>
    <w:rsid w:val="00196886"/>
    <w:rsid w:val="001E0762"/>
    <w:rsid w:val="00207A20"/>
    <w:rsid w:val="0021021C"/>
    <w:rsid w:val="0021156B"/>
    <w:rsid w:val="002231C3"/>
    <w:rsid w:val="00234D34"/>
    <w:rsid w:val="00252DF8"/>
    <w:rsid w:val="00261732"/>
    <w:rsid w:val="00286E73"/>
    <w:rsid w:val="002870BC"/>
    <w:rsid w:val="00295D06"/>
    <w:rsid w:val="00295FB6"/>
    <w:rsid w:val="002C33AD"/>
    <w:rsid w:val="002D2202"/>
    <w:rsid w:val="002E5139"/>
    <w:rsid w:val="002F3E66"/>
    <w:rsid w:val="00315FCE"/>
    <w:rsid w:val="0032433B"/>
    <w:rsid w:val="00324C63"/>
    <w:rsid w:val="003275F7"/>
    <w:rsid w:val="00330F8E"/>
    <w:rsid w:val="003350CB"/>
    <w:rsid w:val="003777AF"/>
    <w:rsid w:val="0038030D"/>
    <w:rsid w:val="00382D63"/>
    <w:rsid w:val="003B62F9"/>
    <w:rsid w:val="003E4859"/>
    <w:rsid w:val="003E5B9F"/>
    <w:rsid w:val="003E5E82"/>
    <w:rsid w:val="003F0471"/>
    <w:rsid w:val="00423FE1"/>
    <w:rsid w:val="004412C8"/>
    <w:rsid w:val="00452ECA"/>
    <w:rsid w:val="004530E8"/>
    <w:rsid w:val="00455945"/>
    <w:rsid w:val="004604E1"/>
    <w:rsid w:val="00467D44"/>
    <w:rsid w:val="00497598"/>
    <w:rsid w:val="004A7C67"/>
    <w:rsid w:val="004B290F"/>
    <w:rsid w:val="004B3768"/>
    <w:rsid w:val="004C556D"/>
    <w:rsid w:val="004E7C2F"/>
    <w:rsid w:val="00513950"/>
    <w:rsid w:val="00545E7D"/>
    <w:rsid w:val="005500CB"/>
    <w:rsid w:val="00557281"/>
    <w:rsid w:val="00571912"/>
    <w:rsid w:val="0059103A"/>
    <w:rsid w:val="00593B72"/>
    <w:rsid w:val="005E0AA5"/>
    <w:rsid w:val="005F5FE5"/>
    <w:rsid w:val="00602E56"/>
    <w:rsid w:val="00607517"/>
    <w:rsid w:val="00631FDF"/>
    <w:rsid w:val="00646831"/>
    <w:rsid w:val="006535DB"/>
    <w:rsid w:val="00661285"/>
    <w:rsid w:val="006868C1"/>
    <w:rsid w:val="00690742"/>
    <w:rsid w:val="006D0A83"/>
    <w:rsid w:val="006E4E48"/>
    <w:rsid w:val="00700A4A"/>
    <w:rsid w:val="0072568C"/>
    <w:rsid w:val="007272F4"/>
    <w:rsid w:val="00731A12"/>
    <w:rsid w:val="00746781"/>
    <w:rsid w:val="0075797D"/>
    <w:rsid w:val="00767C3A"/>
    <w:rsid w:val="00775130"/>
    <w:rsid w:val="00781AF1"/>
    <w:rsid w:val="00783A13"/>
    <w:rsid w:val="007A7962"/>
    <w:rsid w:val="007E368B"/>
    <w:rsid w:val="00800459"/>
    <w:rsid w:val="00802180"/>
    <w:rsid w:val="008226C7"/>
    <w:rsid w:val="00824A29"/>
    <w:rsid w:val="008508A6"/>
    <w:rsid w:val="00884143"/>
    <w:rsid w:val="0088543B"/>
    <w:rsid w:val="008B3F45"/>
    <w:rsid w:val="008B6D45"/>
    <w:rsid w:val="008E4E4F"/>
    <w:rsid w:val="00930C82"/>
    <w:rsid w:val="00943F5D"/>
    <w:rsid w:val="00944F38"/>
    <w:rsid w:val="009614D6"/>
    <w:rsid w:val="009641C8"/>
    <w:rsid w:val="00965311"/>
    <w:rsid w:val="009672D1"/>
    <w:rsid w:val="009A046F"/>
    <w:rsid w:val="009A3EC9"/>
    <w:rsid w:val="009B11FA"/>
    <w:rsid w:val="009C7AAF"/>
    <w:rsid w:val="00A07B6E"/>
    <w:rsid w:val="00A2196C"/>
    <w:rsid w:val="00A4498A"/>
    <w:rsid w:val="00A44E26"/>
    <w:rsid w:val="00A4756D"/>
    <w:rsid w:val="00A47875"/>
    <w:rsid w:val="00A608F2"/>
    <w:rsid w:val="00A62AB7"/>
    <w:rsid w:val="00A66A98"/>
    <w:rsid w:val="00A80DBC"/>
    <w:rsid w:val="00A860F4"/>
    <w:rsid w:val="00AA48A6"/>
    <w:rsid w:val="00AB3350"/>
    <w:rsid w:val="00AB5972"/>
    <w:rsid w:val="00B0117F"/>
    <w:rsid w:val="00B463D5"/>
    <w:rsid w:val="00B630F1"/>
    <w:rsid w:val="00B77A8A"/>
    <w:rsid w:val="00B86583"/>
    <w:rsid w:val="00B876E5"/>
    <w:rsid w:val="00B9382A"/>
    <w:rsid w:val="00BA1405"/>
    <w:rsid w:val="00BA799F"/>
    <w:rsid w:val="00BD16CD"/>
    <w:rsid w:val="00BD1A65"/>
    <w:rsid w:val="00BE64F4"/>
    <w:rsid w:val="00BF63E8"/>
    <w:rsid w:val="00C04F91"/>
    <w:rsid w:val="00C12C83"/>
    <w:rsid w:val="00C444E9"/>
    <w:rsid w:val="00C51035"/>
    <w:rsid w:val="00C51A3D"/>
    <w:rsid w:val="00CB1EA9"/>
    <w:rsid w:val="00CC1C52"/>
    <w:rsid w:val="00CC3062"/>
    <w:rsid w:val="00CE30BD"/>
    <w:rsid w:val="00CE554C"/>
    <w:rsid w:val="00D1098A"/>
    <w:rsid w:val="00D21E8D"/>
    <w:rsid w:val="00D2479C"/>
    <w:rsid w:val="00D335C2"/>
    <w:rsid w:val="00D56082"/>
    <w:rsid w:val="00D572C3"/>
    <w:rsid w:val="00D92542"/>
    <w:rsid w:val="00D95FB8"/>
    <w:rsid w:val="00DC348D"/>
    <w:rsid w:val="00DC5FF4"/>
    <w:rsid w:val="00DD0E54"/>
    <w:rsid w:val="00DE5126"/>
    <w:rsid w:val="00DF60FC"/>
    <w:rsid w:val="00E53BF4"/>
    <w:rsid w:val="00E8254E"/>
    <w:rsid w:val="00EA0B32"/>
    <w:rsid w:val="00EA5BC5"/>
    <w:rsid w:val="00ED6146"/>
    <w:rsid w:val="00EE0D06"/>
    <w:rsid w:val="00EE24E7"/>
    <w:rsid w:val="00EF2DAC"/>
    <w:rsid w:val="00F1380B"/>
    <w:rsid w:val="00F73E6A"/>
    <w:rsid w:val="00F81B8D"/>
    <w:rsid w:val="00F90E5F"/>
    <w:rsid w:val="00F964DF"/>
    <w:rsid w:val="00F96F7D"/>
    <w:rsid w:val="00FA6B9E"/>
    <w:rsid w:val="00FE17CC"/>
    <w:rsid w:val="00FF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  <w:style w:type="character" w:styleId="CommentReference">
    <w:name w:val="annotation reference"/>
    <w:basedOn w:val="DefaultParagraphFont"/>
    <w:uiPriority w:val="99"/>
    <w:semiHidden/>
    <w:unhideWhenUsed/>
    <w:rsid w:val="00CE55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5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5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5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5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1.%20SIBS\3.%20Gest&#227;o\Indicadores%20N&#237;vel%20Servi&#231;o\SIBS_Cartoes_20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1.%20SIBS\3.%20Gest&#227;o\Indicadores%20N&#237;vel%20Servi&#231;o\SIBS_Cartoes_201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1.%20SIBS\3.%20Gest&#227;o\Indicadores%20N&#237;vel%20Servi&#231;o\SIBS_Cartoes_KPI_2016%20(Repai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1.%20SIBS\3.%20Gest&#227;o\Indicadores%20N&#237;vel%20Servi&#231;o\SIBS_Cartoes_KPI_2016%20(Repai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1.%20SIBS\3.%20Gest&#227;o\Indicadores%20N&#237;vel%20Servi&#231;o\SIBS_Cartoes_KPI_2016%20(Repair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clu-lx-fs01\dsi$\SistemasPagamento\01.%20SIBS\3.%20Gest&#227;o\Indicadores%20N&#237;vel%20Servi&#231;o\SIBS_Cartoes_KPI_2016%20(Repair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900" b="0" i="0" baseline="0">
                <a:effectLst/>
              </a:rPr>
              <a:t>Card Production File Processing</a:t>
            </a:r>
          </a:p>
          <a:p>
            <a:pPr>
              <a:defRPr sz="900"/>
            </a:pPr>
            <a:r>
              <a:rPr lang="pt-PT" sz="900" b="1" i="0" baseline="0">
                <a:effectLst/>
              </a:rPr>
              <a:t>Number of Records Processed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'%Produção Direta'!$Q$9:$AB$9</c:f>
              <c:strCache>
                <c:ptCount val="12"/>
                <c:pt idx="0">
                  <c:v>jan-16</c:v>
                </c:pt>
                <c:pt idx="1">
                  <c:v>feb-16</c:v>
                </c:pt>
                <c:pt idx="2">
                  <c:v>mar-16</c:v>
                </c:pt>
                <c:pt idx="3">
                  <c:v>apr-16</c:v>
                </c:pt>
                <c:pt idx="4">
                  <c:v>may-16</c:v>
                </c:pt>
                <c:pt idx="5">
                  <c:v>jun-16</c:v>
                </c:pt>
                <c:pt idx="6">
                  <c:v>jul-16</c:v>
                </c:pt>
                <c:pt idx="7">
                  <c:v>aug-16</c:v>
                </c:pt>
                <c:pt idx="8">
                  <c:v>sep-16</c:v>
                </c:pt>
                <c:pt idx="9">
                  <c:v>oct-16</c:v>
                </c:pt>
                <c:pt idx="10">
                  <c:v>nov-16</c:v>
                </c:pt>
                <c:pt idx="11">
                  <c:v>dec-16</c:v>
                </c:pt>
              </c:strCache>
            </c:strRef>
          </c:cat>
          <c:val>
            <c:numRef>
              <c:f>'%Produção Direta'!$Q$10:$AB$10</c:f>
              <c:numCache>
                <c:formatCode>0.00%</c:formatCode>
                <c:ptCount val="12"/>
                <c:pt idx="0">
                  <c:v>0.99302423161649012</c:v>
                </c:pt>
                <c:pt idx="1">
                  <c:v>0.89895770845830836</c:v>
                </c:pt>
                <c:pt idx="2">
                  <c:v>0.9585163945798455</c:v>
                </c:pt>
                <c:pt idx="3">
                  <c:v>0.8959693671906489</c:v>
                </c:pt>
                <c:pt idx="4">
                  <c:v>0.96325871809030283</c:v>
                </c:pt>
                <c:pt idx="5">
                  <c:v>0.95744942759837515</c:v>
                </c:pt>
                <c:pt idx="6">
                  <c:v>0.15222460192708606</c:v>
                </c:pt>
                <c:pt idx="7">
                  <c:v>0.83199656258951593</c:v>
                </c:pt>
                <c:pt idx="8">
                  <c:v>0.41542988327351504</c:v>
                </c:pt>
                <c:pt idx="9">
                  <c:v>0.43049755622553887</c:v>
                </c:pt>
                <c:pt idx="10">
                  <c:v>0.44724850223219448</c:v>
                </c:pt>
                <c:pt idx="11">
                  <c:v>0.91832112567463375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037504"/>
        <c:axId val="160407328"/>
      </c:lineChart>
      <c:catAx>
        <c:axId val="16203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0407328"/>
        <c:crosses val="autoZero"/>
        <c:auto val="1"/>
        <c:lblAlgn val="ctr"/>
        <c:lblOffset val="100"/>
        <c:noMultiLvlLbl val="0"/>
      </c:catAx>
      <c:valAx>
        <c:axId val="16040732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03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900" b="0" i="0" baseline="0">
                <a:effectLst/>
              </a:rPr>
              <a:t>Card Production File Processing</a:t>
            </a:r>
          </a:p>
          <a:p>
            <a:pPr>
              <a:defRPr sz="1050"/>
            </a:pPr>
            <a:r>
              <a:rPr lang="pt-PT" sz="900" b="1" i="0" baseline="0">
                <a:effectLst/>
              </a:rPr>
              <a:t>Average Number of Days to Expedition</a:t>
            </a:r>
            <a:endParaRPr lang="pt-PT" sz="900" b="1">
              <a:effectLst/>
            </a:endParaRPr>
          </a:p>
        </c:rich>
      </c:tx>
      <c:layout>
        <c:manualLayout>
          <c:xMode val="edge"/>
          <c:yMode val="edge"/>
          <c:x val="0.22392322874150064"/>
          <c:y val="2.76337749188574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'Tempo médio Produção'!$AA$9:$AL$9</c:f>
              <c:strCache>
                <c:ptCount val="12"/>
                <c:pt idx="0">
                  <c:v>jan-16</c:v>
                </c:pt>
                <c:pt idx="1">
                  <c:v>feb-16</c:v>
                </c:pt>
                <c:pt idx="2">
                  <c:v>mar-16</c:v>
                </c:pt>
                <c:pt idx="3">
                  <c:v>apr-16</c:v>
                </c:pt>
                <c:pt idx="4">
                  <c:v>may-16</c:v>
                </c:pt>
                <c:pt idx="5">
                  <c:v>jun-16</c:v>
                </c:pt>
                <c:pt idx="6">
                  <c:v>jul-16</c:v>
                </c:pt>
                <c:pt idx="7">
                  <c:v>aug-16</c:v>
                </c:pt>
                <c:pt idx="8">
                  <c:v>sep-16</c:v>
                </c:pt>
                <c:pt idx="9">
                  <c:v>oct-16</c:v>
                </c:pt>
                <c:pt idx="10">
                  <c:v>nov-16</c:v>
                </c:pt>
                <c:pt idx="11">
                  <c:v>dec-16</c:v>
                </c:pt>
              </c:strCache>
            </c:strRef>
          </c:cat>
          <c:val>
            <c:numRef>
              <c:f>'Tempo médio Produção'!$AA$10:$AL$10</c:f>
              <c:numCache>
                <c:formatCode>0.00</c:formatCode>
                <c:ptCount val="12"/>
                <c:pt idx="0">
                  <c:v>3.8651685393258428</c:v>
                </c:pt>
                <c:pt idx="1">
                  <c:v>3.6804123711340204</c:v>
                </c:pt>
                <c:pt idx="2">
                  <c:v>4.5752212389380533</c:v>
                </c:pt>
                <c:pt idx="3">
                  <c:v>6.8877551020408161</c:v>
                </c:pt>
                <c:pt idx="4">
                  <c:v>11.26530612244898</c:v>
                </c:pt>
                <c:pt idx="5">
                  <c:v>11.287037037037036</c:v>
                </c:pt>
                <c:pt idx="6">
                  <c:v>10.653465346534654</c:v>
                </c:pt>
                <c:pt idx="7">
                  <c:v>11.991304347826087</c:v>
                </c:pt>
                <c:pt idx="8">
                  <c:v>13.863636363636363</c:v>
                </c:pt>
                <c:pt idx="9">
                  <c:v>9.2912621359223309</c:v>
                </c:pt>
                <c:pt idx="10">
                  <c:v>10.112244897959183</c:v>
                </c:pt>
                <c:pt idx="11">
                  <c:v>10.216216216216216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378680"/>
        <c:axId val="162323240"/>
      </c:lineChart>
      <c:catAx>
        <c:axId val="162378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323240"/>
        <c:crosses val="autoZero"/>
        <c:auto val="1"/>
        <c:lblAlgn val="ctr"/>
        <c:lblOffset val="100"/>
        <c:noMultiLvlLbl val="0"/>
      </c:catAx>
      <c:valAx>
        <c:axId val="162323240"/>
        <c:scaling>
          <c:orientation val="minMax"/>
          <c:max val="1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378680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Number of Days for Card Expedition to Customers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'Days for Exp to Cust'!$B$108</c:f>
              <c:strCache>
                <c:ptCount val="1"/>
                <c:pt idx="0">
                  <c:v>Renewals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'Days for Exp to Cust'!$C$107:$AG$107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 + 30</c:v>
                </c:pt>
              </c:strCache>
            </c:strRef>
          </c:cat>
          <c:val>
            <c:numRef>
              <c:f>'Days for Exp to Cust'!$C$108:$AG$108</c:f>
              <c:numCache>
                <c:formatCode>General</c:formatCode>
                <c:ptCount val="31"/>
                <c:pt idx="4">
                  <c:v>492</c:v>
                </c:pt>
                <c:pt idx="6">
                  <c:v>775</c:v>
                </c:pt>
                <c:pt idx="9">
                  <c:v>752</c:v>
                </c:pt>
                <c:pt idx="10">
                  <c:v>317</c:v>
                </c:pt>
                <c:pt idx="12">
                  <c:v>561</c:v>
                </c:pt>
                <c:pt idx="13">
                  <c:v>8783</c:v>
                </c:pt>
                <c:pt idx="14">
                  <c:v>352</c:v>
                </c:pt>
                <c:pt idx="15">
                  <c:v>3283</c:v>
                </c:pt>
                <c:pt idx="16">
                  <c:v>16342</c:v>
                </c:pt>
                <c:pt idx="17">
                  <c:v>8401</c:v>
                </c:pt>
                <c:pt idx="18">
                  <c:v>2244</c:v>
                </c:pt>
                <c:pt idx="19">
                  <c:v>1268</c:v>
                </c:pt>
                <c:pt idx="20">
                  <c:v>2</c:v>
                </c:pt>
                <c:pt idx="21">
                  <c:v>1396</c:v>
                </c:pt>
                <c:pt idx="22">
                  <c:v>7362</c:v>
                </c:pt>
                <c:pt idx="23">
                  <c:v>1288</c:v>
                </c:pt>
                <c:pt idx="25">
                  <c:v>2587</c:v>
                </c:pt>
                <c:pt idx="26">
                  <c:v>5862</c:v>
                </c:pt>
                <c:pt idx="27">
                  <c:v>2240</c:v>
                </c:pt>
                <c:pt idx="29">
                  <c:v>2730</c:v>
                </c:pt>
                <c:pt idx="30">
                  <c:v>5032</c:v>
                </c:pt>
              </c:numCache>
            </c:numRef>
          </c:val>
        </c:ser>
        <c:ser>
          <c:idx val="1"/>
          <c:order val="1"/>
          <c:tx>
            <c:strRef>
              <c:f>'Days for Exp to Cust'!$B$109</c:f>
              <c:strCache>
                <c:ptCount val="1"/>
                <c:pt idx="0">
                  <c:v>New Cards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'Days for Exp to Cust'!$C$107:$AG$107</c:f>
              <c:strCach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 + 30</c:v>
                </c:pt>
              </c:strCache>
            </c:strRef>
          </c:cat>
          <c:val>
            <c:numRef>
              <c:f>'Days for Exp to Cust'!$C$109:$AG$109</c:f>
              <c:numCache>
                <c:formatCode>General</c:formatCode>
                <c:ptCount val="31"/>
                <c:pt idx="0">
                  <c:v>3581</c:v>
                </c:pt>
                <c:pt idx="1">
                  <c:v>25957</c:v>
                </c:pt>
                <c:pt idx="2">
                  <c:v>11834</c:v>
                </c:pt>
                <c:pt idx="3">
                  <c:v>3013</c:v>
                </c:pt>
                <c:pt idx="4">
                  <c:v>14334</c:v>
                </c:pt>
                <c:pt idx="5">
                  <c:v>16767</c:v>
                </c:pt>
                <c:pt idx="6">
                  <c:v>13437</c:v>
                </c:pt>
                <c:pt idx="7">
                  <c:v>24639</c:v>
                </c:pt>
                <c:pt idx="8">
                  <c:v>7473</c:v>
                </c:pt>
                <c:pt idx="9">
                  <c:v>11693</c:v>
                </c:pt>
                <c:pt idx="10">
                  <c:v>12973</c:v>
                </c:pt>
                <c:pt idx="11">
                  <c:v>9351</c:v>
                </c:pt>
                <c:pt idx="12">
                  <c:v>1211</c:v>
                </c:pt>
                <c:pt idx="13">
                  <c:v>3096</c:v>
                </c:pt>
                <c:pt idx="14">
                  <c:v>2051</c:v>
                </c:pt>
                <c:pt idx="15">
                  <c:v>3878</c:v>
                </c:pt>
                <c:pt idx="16">
                  <c:v>5304</c:v>
                </c:pt>
                <c:pt idx="17">
                  <c:v>2382</c:v>
                </c:pt>
                <c:pt idx="18">
                  <c:v>1759</c:v>
                </c:pt>
                <c:pt idx="19">
                  <c:v>76</c:v>
                </c:pt>
                <c:pt idx="20">
                  <c:v>912</c:v>
                </c:pt>
                <c:pt idx="21">
                  <c:v>830</c:v>
                </c:pt>
                <c:pt idx="22">
                  <c:v>1699</c:v>
                </c:pt>
                <c:pt idx="23">
                  <c:v>258</c:v>
                </c:pt>
                <c:pt idx="24">
                  <c:v>133</c:v>
                </c:pt>
                <c:pt idx="25">
                  <c:v>1241</c:v>
                </c:pt>
                <c:pt idx="26">
                  <c:v>2003</c:v>
                </c:pt>
                <c:pt idx="27">
                  <c:v>122</c:v>
                </c:pt>
                <c:pt idx="28">
                  <c:v>457</c:v>
                </c:pt>
                <c:pt idx="29">
                  <c:v>1441</c:v>
                </c:pt>
                <c:pt idx="30">
                  <c:v>6085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650576"/>
        <c:axId val="160650968"/>
      </c:barChart>
      <c:catAx>
        <c:axId val="16065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0650968"/>
        <c:crosses val="autoZero"/>
        <c:auto val="1"/>
        <c:lblAlgn val="ctr"/>
        <c:lblOffset val="100"/>
        <c:noMultiLvlLbl val="0"/>
      </c:catAx>
      <c:valAx>
        <c:axId val="160650968"/>
        <c:scaling>
          <c:orientation val="minMax"/>
          <c:max val="2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0650576"/>
        <c:crosses val="autoZero"/>
        <c:crossBetween val="between"/>
        <c:majorUnit val="2000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Average Number of Days for Card Expedition to Customers</a:t>
            </a:r>
          </a:p>
          <a:p>
            <a:pPr>
              <a:defRPr/>
            </a:pPr>
            <a:r>
              <a:rPr lang="pt-PT"/>
              <a:t>By Insignia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'AVG Days for Exp Cust'!$C$2</c:f>
              <c:strCache>
                <c:ptCount val="1"/>
                <c:pt idx="0">
                  <c:v>Renewals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'AVG Days for Exp Cust'!$B$3:$B$26</c:f>
              <c:strCache>
                <c:ptCount val="24"/>
                <c:pt idx="0">
                  <c:v>Worten def - 6806</c:v>
                </c:pt>
                <c:pt idx="1">
                  <c:v>White</c:v>
                </c:pt>
                <c:pt idx="2">
                  <c:v>Vobis -6843</c:v>
                </c:pt>
                <c:pt idx="3">
                  <c:v>Tien 21</c:v>
                </c:pt>
                <c:pt idx="4">
                  <c:v>SZ Def - 6508</c:v>
                </c:pt>
                <c:pt idx="5">
                  <c:v>Salvador Caetano</c:v>
                </c:pt>
                <c:pt idx="6">
                  <c:v>RP Def</c:v>
                </c:pt>
                <c:pt idx="7">
                  <c:v>Renault MCI</c:v>
                </c:pt>
                <c:pt idx="8">
                  <c:v>Moviflor</c:v>
                </c:pt>
                <c:pt idx="9">
                  <c:v>Media Markt</c:v>
                </c:pt>
                <c:pt idx="10">
                  <c:v>MDL Def - 2208</c:v>
                </c:pt>
                <c:pt idx="11">
                  <c:v>MC FNAC</c:v>
                </c:pt>
                <c:pt idx="12">
                  <c:v>Ikea</c:v>
                </c:pt>
                <c:pt idx="13">
                  <c:v>Green</c:v>
                </c:pt>
                <c:pt idx="14">
                  <c:v>Fnac Fidelidade - 3199</c:v>
                </c:pt>
                <c:pt idx="15">
                  <c:v>Euronics</c:v>
                </c:pt>
                <c:pt idx="16">
                  <c:v>Decathlon</c:v>
                </c:pt>
                <c:pt idx="17">
                  <c:v>Credial</c:v>
                </c:pt>
                <c:pt idx="18">
                  <c:v>Confort</c:v>
                </c:pt>
                <c:pt idx="19">
                  <c:v>Conforama</c:v>
                </c:pt>
                <c:pt idx="20">
                  <c:v>CNT Def - 2205</c:v>
                </c:pt>
                <c:pt idx="21">
                  <c:v>Cetelem JOM</c:v>
                </c:pt>
                <c:pt idx="22">
                  <c:v>Cetelem CTT Standard</c:v>
                </c:pt>
                <c:pt idx="23">
                  <c:v>Black</c:v>
                </c:pt>
              </c:strCache>
            </c:strRef>
          </c:cat>
          <c:val>
            <c:numRef>
              <c:f>'AVG Days for Exp Cust'!$C$3:$C$26</c:f>
              <c:numCache>
                <c:formatCode>0.00</c:formatCode>
                <c:ptCount val="24"/>
                <c:pt idx="0">
                  <c:v>51.978991596638657</c:v>
                </c:pt>
                <c:pt idx="1">
                  <c:v>21.976068376068376</c:v>
                </c:pt>
                <c:pt idx="2">
                  <c:v>10.693811074918568</c:v>
                </c:pt>
                <c:pt idx="3">
                  <c:v>12.075675675675676</c:v>
                </c:pt>
                <c:pt idx="4">
                  <c:v>14</c:v>
                </c:pt>
                <c:pt idx="5">
                  <c:v>17.206620477290222</c:v>
                </c:pt>
                <c:pt idx="6">
                  <c:v>20.620246027678114</c:v>
                </c:pt>
                <c:pt idx="7">
                  <c:v>7</c:v>
                </c:pt>
                <c:pt idx="8">
                  <c:v>15.058878944889308</c:v>
                </c:pt>
                <c:pt idx="11">
                  <c:v>17.205987895667079</c:v>
                </c:pt>
                <c:pt idx="12">
                  <c:v>22.427713023962934</c:v>
                </c:pt>
                <c:pt idx="13">
                  <c:v>25.03921568627451</c:v>
                </c:pt>
                <c:pt idx="15">
                  <c:v>13.433551198257081</c:v>
                </c:pt>
                <c:pt idx="17">
                  <c:v>21.357696566998893</c:v>
                </c:pt>
                <c:pt idx="18">
                  <c:v>11.804878048780488</c:v>
                </c:pt>
                <c:pt idx="19">
                  <c:v>30.052835345023912</c:v>
                </c:pt>
                <c:pt idx="22">
                  <c:v>23</c:v>
                </c:pt>
                <c:pt idx="23">
                  <c:v>10.813842482100238</c:v>
                </c:pt>
              </c:numCache>
            </c:numRef>
          </c:val>
        </c:ser>
        <c:ser>
          <c:idx val="1"/>
          <c:order val="1"/>
          <c:tx>
            <c:strRef>
              <c:f>'AVG Days for Exp Cust'!$D$2</c:f>
              <c:strCache>
                <c:ptCount val="1"/>
                <c:pt idx="0">
                  <c:v>New Cards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'AVG Days for Exp Cust'!$B$3:$B$26</c:f>
              <c:strCache>
                <c:ptCount val="24"/>
                <c:pt idx="0">
                  <c:v>Worten def - 6806</c:v>
                </c:pt>
                <c:pt idx="1">
                  <c:v>White</c:v>
                </c:pt>
                <c:pt idx="2">
                  <c:v>Vobis -6843</c:v>
                </c:pt>
                <c:pt idx="3">
                  <c:v>Tien 21</c:v>
                </c:pt>
                <c:pt idx="4">
                  <c:v>SZ Def - 6508</c:v>
                </c:pt>
                <c:pt idx="5">
                  <c:v>Salvador Caetano</c:v>
                </c:pt>
                <c:pt idx="6">
                  <c:v>RP Def</c:v>
                </c:pt>
                <c:pt idx="7">
                  <c:v>Renault MCI</c:v>
                </c:pt>
                <c:pt idx="8">
                  <c:v>Moviflor</c:v>
                </c:pt>
                <c:pt idx="9">
                  <c:v>Media Markt</c:v>
                </c:pt>
                <c:pt idx="10">
                  <c:v>MDL Def - 2208</c:v>
                </c:pt>
                <c:pt idx="11">
                  <c:v>MC FNAC</c:v>
                </c:pt>
                <c:pt idx="12">
                  <c:v>Ikea</c:v>
                </c:pt>
                <c:pt idx="13">
                  <c:v>Green</c:v>
                </c:pt>
                <c:pt idx="14">
                  <c:v>Fnac Fidelidade - 3199</c:v>
                </c:pt>
                <c:pt idx="15">
                  <c:v>Euronics</c:v>
                </c:pt>
                <c:pt idx="16">
                  <c:v>Decathlon</c:v>
                </c:pt>
                <c:pt idx="17">
                  <c:v>Credial</c:v>
                </c:pt>
                <c:pt idx="18">
                  <c:v>Confort</c:v>
                </c:pt>
                <c:pt idx="19">
                  <c:v>Conforama</c:v>
                </c:pt>
                <c:pt idx="20">
                  <c:v>CNT Def - 2205</c:v>
                </c:pt>
                <c:pt idx="21">
                  <c:v>Cetelem JOM</c:v>
                </c:pt>
                <c:pt idx="22">
                  <c:v>Cetelem CTT Standard</c:v>
                </c:pt>
                <c:pt idx="23">
                  <c:v>Black</c:v>
                </c:pt>
              </c:strCache>
            </c:strRef>
          </c:cat>
          <c:val>
            <c:numRef>
              <c:f>'AVG Days for Exp Cust'!$D$3:$D$26</c:f>
              <c:numCache>
                <c:formatCode>0.00</c:formatCode>
                <c:ptCount val="24"/>
                <c:pt idx="0">
                  <c:v>7.9186744025961255</c:v>
                </c:pt>
                <c:pt idx="1">
                  <c:v>3.3022636484687085</c:v>
                </c:pt>
                <c:pt idx="2">
                  <c:v>6.6181818181818182</c:v>
                </c:pt>
                <c:pt idx="3">
                  <c:v>6.1141732283464565</c:v>
                </c:pt>
                <c:pt idx="4">
                  <c:v>6.5192307692307692</c:v>
                </c:pt>
                <c:pt idx="5">
                  <c:v>5.1464464186563017</c:v>
                </c:pt>
                <c:pt idx="6">
                  <c:v>9.1297155361050333</c:v>
                </c:pt>
                <c:pt idx="7">
                  <c:v>1</c:v>
                </c:pt>
                <c:pt idx="8">
                  <c:v>1.9445564516129032</c:v>
                </c:pt>
                <c:pt idx="9">
                  <c:v>9.8425061425061422</c:v>
                </c:pt>
                <c:pt idx="10">
                  <c:v>5.615384615384615</c:v>
                </c:pt>
                <c:pt idx="11">
                  <c:v>5.5195602468130422</c:v>
                </c:pt>
                <c:pt idx="12">
                  <c:v>9.8366286085584331</c:v>
                </c:pt>
                <c:pt idx="13">
                  <c:v>3.8305084745762712</c:v>
                </c:pt>
                <c:pt idx="14">
                  <c:v>8.8424457142857147</c:v>
                </c:pt>
                <c:pt idx="15">
                  <c:v>6.5622849277357194</c:v>
                </c:pt>
                <c:pt idx="16">
                  <c:v>15.69875</c:v>
                </c:pt>
                <c:pt idx="17">
                  <c:v>4.4261744966442951</c:v>
                </c:pt>
                <c:pt idx="18">
                  <c:v>6.0842332613390928</c:v>
                </c:pt>
                <c:pt idx="19">
                  <c:v>14.837510750706475</c:v>
                </c:pt>
                <c:pt idx="20">
                  <c:v>6.7272727272727275</c:v>
                </c:pt>
                <c:pt idx="21">
                  <c:v>7.7621359223300974</c:v>
                </c:pt>
                <c:pt idx="22">
                  <c:v>8.642720787702201</c:v>
                </c:pt>
                <c:pt idx="23">
                  <c:v>5.5593738067964873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7970176"/>
        <c:axId val="162820096"/>
      </c:barChart>
      <c:catAx>
        <c:axId val="137970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820096"/>
        <c:crosses val="autoZero"/>
        <c:auto val="1"/>
        <c:lblAlgn val="ctr"/>
        <c:lblOffset val="100"/>
        <c:noMultiLvlLbl val="0"/>
      </c:catAx>
      <c:valAx>
        <c:axId val="162820096"/>
        <c:scaling>
          <c:orientation val="minMax"/>
          <c:max val="52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7970176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Average Number of Days for Card Expedition to Retailers</a:t>
            </a:r>
          </a:p>
          <a:p>
            <a:pPr>
              <a:defRPr/>
            </a:pPr>
            <a:r>
              <a:rPr lang="pt-PT"/>
              <a:t>by Insignia 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'Provisory Cards - Retailers'!$B$2</c:f>
              <c:strCache>
                <c:ptCount val="1"/>
                <c:pt idx="0">
                  <c:v>Avg Days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'Provisory Cards - Retailers'!$A$3:$A$7</c:f>
              <c:strCache>
                <c:ptCount val="5"/>
                <c:pt idx="0">
                  <c:v>FNAC prov</c:v>
                </c:pt>
                <c:pt idx="1">
                  <c:v>Ikea prov</c:v>
                </c:pt>
                <c:pt idx="2">
                  <c:v>MediaMarkt prov</c:v>
                </c:pt>
                <c:pt idx="3">
                  <c:v>RP prov</c:v>
                </c:pt>
                <c:pt idx="4">
                  <c:v>Worten prov - 6804</c:v>
                </c:pt>
              </c:strCache>
            </c:strRef>
          </c:cat>
          <c:val>
            <c:numRef>
              <c:f>'Provisory Cards - Retailers'!$B$3:$B$7</c:f>
              <c:numCache>
                <c:formatCode>0.00</c:formatCode>
                <c:ptCount val="5"/>
                <c:pt idx="0">
                  <c:v>3.5428802588996762</c:v>
                </c:pt>
                <c:pt idx="1">
                  <c:v>1.2872928176795579</c:v>
                </c:pt>
                <c:pt idx="2">
                  <c:v>4.4901960784313726</c:v>
                </c:pt>
                <c:pt idx="3">
                  <c:v>3.8953562340966923</c:v>
                </c:pt>
                <c:pt idx="4">
                  <c:v>6.5579240037071358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820488"/>
        <c:axId val="162820880"/>
      </c:barChart>
      <c:catAx>
        <c:axId val="162820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820880"/>
        <c:crosses val="autoZero"/>
        <c:auto val="1"/>
        <c:lblAlgn val="ctr"/>
        <c:lblOffset val="100"/>
        <c:noMultiLvlLbl val="0"/>
      </c:catAx>
      <c:valAx>
        <c:axId val="16282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820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700"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Number of Days for New Cards Expedition to Customers</a:t>
            </a:r>
          </a:p>
          <a:p>
            <a:pPr>
              <a:defRPr/>
            </a:pPr>
            <a:r>
              <a:rPr lang="pt-PT"/>
              <a:t>By Insignia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'Days for Exp to Cust'!$A$3</c:f>
              <c:strCache>
                <c:ptCount val="1"/>
                <c:pt idx="0">
                  <c:v>Black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Cust'!$B$3:$AY$3</c:f>
              <c:numCache>
                <c:formatCode>General</c:formatCode>
                <c:ptCount val="50"/>
                <c:pt idx="0">
                  <c:v>154</c:v>
                </c:pt>
                <c:pt idx="1">
                  <c:v>452</c:v>
                </c:pt>
                <c:pt idx="2">
                  <c:v>75</c:v>
                </c:pt>
                <c:pt idx="3">
                  <c:v>53</c:v>
                </c:pt>
                <c:pt idx="4">
                  <c:v>275</c:v>
                </c:pt>
                <c:pt idx="5">
                  <c:v>450</c:v>
                </c:pt>
                <c:pt idx="6">
                  <c:v>115</c:v>
                </c:pt>
                <c:pt idx="7">
                  <c:v>419</c:v>
                </c:pt>
                <c:pt idx="8">
                  <c:v>36</c:v>
                </c:pt>
                <c:pt idx="9">
                  <c:v>160</c:v>
                </c:pt>
                <c:pt idx="10">
                  <c:v>94</c:v>
                </c:pt>
                <c:pt idx="11">
                  <c:v>182</c:v>
                </c:pt>
                <c:pt idx="14">
                  <c:v>154</c:v>
                </c:pt>
              </c:numCache>
            </c:numRef>
          </c:val>
        </c:ser>
        <c:ser>
          <c:idx val="1"/>
          <c:order val="1"/>
          <c:tx>
            <c:strRef>
              <c:f>'Days for Exp to Cust'!$A$4</c:f>
              <c:strCache>
                <c:ptCount val="1"/>
                <c:pt idx="0">
                  <c:v>Cetelem CTT Standard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Cust'!$B$4:$AY$4</c:f>
              <c:numCache>
                <c:formatCode>General</c:formatCode>
                <c:ptCount val="50"/>
                <c:pt idx="0">
                  <c:v>26</c:v>
                </c:pt>
                <c:pt idx="1">
                  <c:v>103</c:v>
                </c:pt>
                <c:pt idx="2">
                  <c:v>570</c:v>
                </c:pt>
                <c:pt idx="4">
                  <c:v>212</c:v>
                </c:pt>
                <c:pt idx="5">
                  <c:v>1991</c:v>
                </c:pt>
                <c:pt idx="6">
                  <c:v>144</c:v>
                </c:pt>
                <c:pt idx="7">
                  <c:v>300</c:v>
                </c:pt>
                <c:pt idx="8">
                  <c:v>785</c:v>
                </c:pt>
                <c:pt idx="9">
                  <c:v>2500</c:v>
                </c:pt>
                <c:pt idx="10">
                  <c:v>1915</c:v>
                </c:pt>
                <c:pt idx="11">
                  <c:v>55</c:v>
                </c:pt>
                <c:pt idx="12">
                  <c:v>18</c:v>
                </c:pt>
                <c:pt idx="14">
                  <c:v>27</c:v>
                </c:pt>
                <c:pt idx="16">
                  <c:v>1085</c:v>
                </c:pt>
                <c:pt idx="17">
                  <c:v>117</c:v>
                </c:pt>
                <c:pt idx="18">
                  <c:v>22</c:v>
                </c:pt>
                <c:pt idx="19">
                  <c:v>43</c:v>
                </c:pt>
                <c:pt idx="32">
                  <c:v>40</c:v>
                </c:pt>
              </c:numCache>
            </c:numRef>
          </c:val>
        </c:ser>
        <c:ser>
          <c:idx val="2"/>
          <c:order val="2"/>
          <c:tx>
            <c:strRef>
              <c:f>'Days for Exp to Cust'!$A$5</c:f>
              <c:strCache>
                <c:ptCount val="1"/>
                <c:pt idx="0">
                  <c:v>Cetelem JOM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Cust'!$B$5:$AY$5</c:f>
              <c:numCache>
                <c:formatCode>General</c:formatCode>
                <c:ptCount val="50"/>
                <c:pt idx="0">
                  <c:v>84</c:v>
                </c:pt>
                <c:pt idx="1">
                  <c:v>276</c:v>
                </c:pt>
                <c:pt idx="2">
                  <c:v>17</c:v>
                </c:pt>
                <c:pt idx="4">
                  <c:v>184</c:v>
                </c:pt>
                <c:pt idx="5">
                  <c:v>240</c:v>
                </c:pt>
                <c:pt idx="6">
                  <c:v>98</c:v>
                </c:pt>
                <c:pt idx="7">
                  <c:v>278</c:v>
                </c:pt>
                <c:pt idx="8">
                  <c:v>25</c:v>
                </c:pt>
                <c:pt idx="9">
                  <c:v>62</c:v>
                </c:pt>
                <c:pt idx="10">
                  <c:v>40</c:v>
                </c:pt>
                <c:pt idx="11">
                  <c:v>88</c:v>
                </c:pt>
                <c:pt idx="13">
                  <c:v>56</c:v>
                </c:pt>
                <c:pt idx="14">
                  <c:v>48</c:v>
                </c:pt>
                <c:pt idx="18">
                  <c:v>35</c:v>
                </c:pt>
                <c:pt idx="25">
                  <c:v>29</c:v>
                </c:pt>
                <c:pt idx="31">
                  <c:v>43</c:v>
                </c:pt>
                <c:pt idx="37">
                  <c:v>45</c:v>
                </c:pt>
              </c:numCache>
            </c:numRef>
          </c:val>
        </c:ser>
        <c:ser>
          <c:idx val="3"/>
          <c:order val="3"/>
          <c:tx>
            <c:strRef>
              <c:f>'Days for Exp to Cust'!$A$6</c:f>
              <c:strCache>
                <c:ptCount val="1"/>
                <c:pt idx="0">
                  <c:v>CNT Def - 2205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Cust'!$B$6:$AY$6</c:f>
              <c:numCache>
                <c:formatCode>General</c:formatCode>
                <c:ptCount val="50"/>
                <c:pt idx="1">
                  <c:v>6</c:v>
                </c:pt>
                <c:pt idx="4">
                  <c:v>3</c:v>
                </c:pt>
                <c:pt idx="5">
                  <c:v>7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9">
                  <c:v>2</c:v>
                </c:pt>
                <c:pt idx="11">
                  <c:v>4</c:v>
                </c:pt>
                <c:pt idx="14">
                  <c:v>1</c:v>
                </c:pt>
                <c:pt idx="20">
                  <c:v>2</c:v>
                </c:pt>
              </c:numCache>
            </c:numRef>
          </c:val>
        </c:ser>
        <c:ser>
          <c:idx val="4"/>
          <c:order val="4"/>
          <c:tx>
            <c:strRef>
              <c:f>'Days for Exp to Cust'!$A$7</c:f>
              <c:strCache>
                <c:ptCount val="1"/>
                <c:pt idx="0">
                  <c:v>Conforama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Cust'!$B$7:$AY$7</c:f>
              <c:numCache>
                <c:formatCode>General</c:formatCode>
                <c:ptCount val="50"/>
                <c:pt idx="0">
                  <c:v>484</c:v>
                </c:pt>
                <c:pt idx="1">
                  <c:v>2578</c:v>
                </c:pt>
                <c:pt idx="2">
                  <c:v>579</c:v>
                </c:pt>
                <c:pt idx="4">
                  <c:v>1808</c:v>
                </c:pt>
                <c:pt idx="5">
                  <c:v>782</c:v>
                </c:pt>
                <c:pt idx="6">
                  <c:v>1429</c:v>
                </c:pt>
                <c:pt idx="7">
                  <c:v>848</c:v>
                </c:pt>
                <c:pt idx="8">
                  <c:v>179</c:v>
                </c:pt>
                <c:pt idx="9">
                  <c:v>699</c:v>
                </c:pt>
                <c:pt idx="10">
                  <c:v>694</c:v>
                </c:pt>
                <c:pt idx="11">
                  <c:v>214</c:v>
                </c:pt>
                <c:pt idx="12">
                  <c:v>302</c:v>
                </c:pt>
                <c:pt idx="13">
                  <c:v>355</c:v>
                </c:pt>
                <c:pt idx="15">
                  <c:v>321</c:v>
                </c:pt>
                <c:pt idx="18">
                  <c:v>282</c:v>
                </c:pt>
                <c:pt idx="21">
                  <c:v>525</c:v>
                </c:pt>
                <c:pt idx="22">
                  <c:v>366</c:v>
                </c:pt>
                <c:pt idx="23">
                  <c:v>258</c:v>
                </c:pt>
                <c:pt idx="25">
                  <c:v>186</c:v>
                </c:pt>
                <c:pt idx="28">
                  <c:v>457</c:v>
                </c:pt>
                <c:pt idx="29">
                  <c:v>316</c:v>
                </c:pt>
                <c:pt idx="31">
                  <c:v>369</c:v>
                </c:pt>
                <c:pt idx="34">
                  <c:v>389</c:v>
                </c:pt>
                <c:pt idx="37">
                  <c:v>263</c:v>
                </c:pt>
                <c:pt idx="41">
                  <c:v>477</c:v>
                </c:pt>
                <c:pt idx="44">
                  <c:v>451</c:v>
                </c:pt>
                <c:pt idx="47">
                  <c:v>428</c:v>
                </c:pt>
                <c:pt idx="49">
                  <c:v>239</c:v>
                </c:pt>
              </c:numCache>
            </c:numRef>
          </c:val>
        </c:ser>
        <c:ser>
          <c:idx val="5"/>
          <c:order val="5"/>
          <c:tx>
            <c:strRef>
              <c:f>'Days for Exp to Cust'!$A$8</c:f>
              <c:strCache>
                <c:ptCount val="1"/>
                <c:pt idx="0">
                  <c:v>Confort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Cust'!$B$8:$AY$8</c:f>
              <c:numCache>
                <c:formatCode>General</c:formatCode>
                <c:ptCount val="50"/>
                <c:pt idx="0">
                  <c:v>39</c:v>
                </c:pt>
                <c:pt idx="1">
                  <c:v>81</c:v>
                </c:pt>
                <c:pt idx="2">
                  <c:v>21</c:v>
                </c:pt>
                <c:pt idx="3">
                  <c:v>14</c:v>
                </c:pt>
                <c:pt idx="4">
                  <c:v>55</c:v>
                </c:pt>
                <c:pt idx="5">
                  <c:v>61</c:v>
                </c:pt>
                <c:pt idx="6">
                  <c:v>43</c:v>
                </c:pt>
                <c:pt idx="7">
                  <c:v>37</c:v>
                </c:pt>
                <c:pt idx="9">
                  <c:v>36</c:v>
                </c:pt>
                <c:pt idx="10">
                  <c:v>14</c:v>
                </c:pt>
                <c:pt idx="11">
                  <c:v>24</c:v>
                </c:pt>
                <c:pt idx="13">
                  <c:v>19</c:v>
                </c:pt>
                <c:pt idx="15">
                  <c:v>2</c:v>
                </c:pt>
                <c:pt idx="22">
                  <c:v>6</c:v>
                </c:pt>
                <c:pt idx="40">
                  <c:v>11</c:v>
                </c:pt>
              </c:numCache>
            </c:numRef>
          </c:val>
        </c:ser>
        <c:ser>
          <c:idx val="6"/>
          <c:order val="6"/>
          <c:tx>
            <c:strRef>
              <c:f>'Days for Exp to Cust'!$A$9</c:f>
              <c:strCache>
                <c:ptCount val="1"/>
                <c:pt idx="0">
                  <c:v>Credial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Cust'!$B$9:$AY$9</c:f>
              <c:numCache>
                <c:formatCode>General</c:formatCode>
                <c:ptCount val="50"/>
                <c:pt idx="0">
                  <c:v>71</c:v>
                </c:pt>
                <c:pt idx="1">
                  <c:v>115</c:v>
                </c:pt>
                <c:pt idx="2">
                  <c:v>41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1</c:v>
                </c:pt>
                <c:pt idx="9">
                  <c:v>3</c:v>
                </c:pt>
                <c:pt idx="11">
                  <c:v>9</c:v>
                </c:pt>
                <c:pt idx="13">
                  <c:v>1</c:v>
                </c:pt>
                <c:pt idx="14">
                  <c:v>2</c:v>
                </c:pt>
                <c:pt idx="17">
                  <c:v>3</c:v>
                </c:pt>
                <c:pt idx="18">
                  <c:v>5</c:v>
                </c:pt>
                <c:pt idx="21">
                  <c:v>2</c:v>
                </c:pt>
                <c:pt idx="31">
                  <c:v>1</c:v>
                </c:pt>
                <c:pt idx="33">
                  <c:v>2</c:v>
                </c:pt>
                <c:pt idx="37">
                  <c:v>1</c:v>
                </c:pt>
                <c:pt idx="40">
                  <c:v>1</c:v>
                </c:pt>
                <c:pt idx="45">
                  <c:v>1</c:v>
                </c:pt>
                <c:pt idx="48">
                  <c:v>6</c:v>
                </c:pt>
              </c:numCache>
            </c:numRef>
          </c:val>
        </c:ser>
        <c:ser>
          <c:idx val="7"/>
          <c:order val="7"/>
          <c:tx>
            <c:strRef>
              <c:f>'Days for Exp to Cust'!$A$10</c:f>
              <c:strCache>
                <c:ptCount val="1"/>
                <c:pt idx="0">
                  <c:v>Decathlon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Cust'!$B$10:$AY$10</c:f>
              <c:numCache>
                <c:formatCode>General</c:formatCode>
                <c:ptCount val="50"/>
                <c:pt idx="4">
                  <c:v>42</c:v>
                </c:pt>
                <c:pt idx="5">
                  <c:v>272</c:v>
                </c:pt>
                <c:pt idx="6">
                  <c:v>104</c:v>
                </c:pt>
                <c:pt idx="9">
                  <c:v>41</c:v>
                </c:pt>
                <c:pt idx="13">
                  <c:v>108</c:v>
                </c:pt>
                <c:pt idx="17">
                  <c:v>60</c:v>
                </c:pt>
                <c:pt idx="34">
                  <c:v>54</c:v>
                </c:pt>
                <c:pt idx="39">
                  <c:v>53</c:v>
                </c:pt>
                <c:pt idx="44">
                  <c:v>66</c:v>
                </c:pt>
              </c:numCache>
            </c:numRef>
          </c:val>
        </c:ser>
        <c:ser>
          <c:idx val="8"/>
          <c:order val="8"/>
          <c:tx>
            <c:strRef>
              <c:f>'Days for Exp to Cust'!$A$11</c:f>
              <c:strCache>
                <c:ptCount val="1"/>
                <c:pt idx="0">
                  <c:v>Euronics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Cust'!$B$11:$AY$11</c:f>
              <c:numCache>
                <c:formatCode>General</c:formatCode>
                <c:ptCount val="50"/>
                <c:pt idx="0">
                  <c:v>81</c:v>
                </c:pt>
                <c:pt idx="1">
                  <c:v>333</c:v>
                </c:pt>
                <c:pt idx="2">
                  <c:v>30</c:v>
                </c:pt>
                <c:pt idx="4">
                  <c:v>104</c:v>
                </c:pt>
                <c:pt idx="5">
                  <c:v>150</c:v>
                </c:pt>
                <c:pt idx="6">
                  <c:v>145</c:v>
                </c:pt>
                <c:pt idx="7">
                  <c:v>146</c:v>
                </c:pt>
                <c:pt idx="8">
                  <c:v>32</c:v>
                </c:pt>
                <c:pt idx="9">
                  <c:v>116</c:v>
                </c:pt>
                <c:pt idx="10">
                  <c:v>73</c:v>
                </c:pt>
                <c:pt idx="11">
                  <c:v>69</c:v>
                </c:pt>
                <c:pt idx="13">
                  <c:v>51</c:v>
                </c:pt>
                <c:pt idx="14">
                  <c:v>18</c:v>
                </c:pt>
                <c:pt idx="15">
                  <c:v>20</c:v>
                </c:pt>
                <c:pt idx="22">
                  <c:v>55</c:v>
                </c:pt>
                <c:pt idx="29">
                  <c:v>30</c:v>
                </c:pt>
              </c:numCache>
            </c:numRef>
          </c:val>
        </c:ser>
        <c:ser>
          <c:idx val="9"/>
          <c:order val="9"/>
          <c:tx>
            <c:strRef>
              <c:f>'Days for Exp to Cust'!$A$12</c:f>
              <c:strCache>
                <c:ptCount val="1"/>
                <c:pt idx="0">
                  <c:v>Fnac Fidelidade - 3199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Cust'!$B$12:$AY$12</c:f>
              <c:numCache>
                <c:formatCode>General</c:formatCode>
                <c:ptCount val="50"/>
                <c:pt idx="0">
                  <c:v>189</c:v>
                </c:pt>
                <c:pt idx="1">
                  <c:v>913</c:v>
                </c:pt>
                <c:pt idx="2">
                  <c:v>4229</c:v>
                </c:pt>
                <c:pt idx="3">
                  <c:v>558</c:v>
                </c:pt>
                <c:pt idx="4">
                  <c:v>584</c:v>
                </c:pt>
                <c:pt idx="5">
                  <c:v>2180</c:v>
                </c:pt>
                <c:pt idx="6">
                  <c:v>3929</c:v>
                </c:pt>
                <c:pt idx="7">
                  <c:v>11431</c:v>
                </c:pt>
                <c:pt idx="8">
                  <c:v>178</c:v>
                </c:pt>
                <c:pt idx="9">
                  <c:v>1714</c:v>
                </c:pt>
                <c:pt idx="10">
                  <c:v>7435</c:v>
                </c:pt>
                <c:pt idx="11">
                  <c:v>4144</c:v>
                </c:pt>
                <c:pt idx="12">
                  <c:v>42</c:v>
                </c:pt>
                <c:pt idx="13">
                  <c:v>51</c:v>
                </c:pt>
                <c:pt idx="16">
                  <c:v>2000</c:v>
                </c:pt>
                <c:pt idx="17">
                  <c:v>2080</c:v>
                </c:pt>
                <c:pt idx="18">
                  <c:v>93</c:v>
                </c:pt>
                <c:pt idx="26">
                  <c:v>2000</c:v>
                </c:pt>
              </c:numCache>
            </c:numRef>
          </c:val>
        </c:ser>
        <c:ser>
          <c:idx val="10"/>
          <c:order val="10"/>
          <c:tx>
            <c:strRef>
              <c:f>'Days for Exp to Cust'!$A$13</c:f>
              <c:strCache>
                <c:ptCount val="1"/>
                <c:pt idx="0">
                  <c:v>Green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Cust'!$B$13:$AY$13</c:f>
              <c:numCache>
                <c:formatCode>General</c:formatCode>
                <c:ptCount val="50"/>
                <c:pt idx="0">
                  <c:v>18</c:v>
                </c:pt>
                <c:pt idx="1">
                  <c:v>16</c:v>
                </c:pt>
                <c:pt idx="2">
                  <c:v>15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9">
                  <c:v>2</c:v>
                </c:pt>
                <c:pt idx="13">
                  <c:v>1</c:v>
                </c:pt>
                <c:pt idx="25">
                  <c:v>1</c:v>
                </c:pt>
                <c:pt idx="43">
                  <c:v>1</c:v>
                </c:pt>
                <c:pt idx="46">
                  <c:v>1</c:v>
                </c:pt>
              </c:numCache>
            </c:numRef>
          </c:val>
        </c:ser>
        <c:ser>
          <c:idx val="11"/>
          <c:order val="11"/>
          <c:tx>
            <c:strRef>
              <c:f>'Days for Exp to Cust'!$A$14</c:f>
              <c:strCache>
                <c:ptCount val="1"/>
                <c:pt idx="0">
                  <c:v>Ikea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Cust'!$B$14:$AY$14</c:f>
              <c:numCache>
                <c:formatCode>General</c:formatCode>
                <c:ptCount val="50"/>
                <c:pt idx="0">
                  <c:v>946</c:v>
                </c:pt>
                <c:pt idx="1">
                  <c:v>1768</c:v>
                </c:pt>
                <c:pt idx="2">
                  <c:v>482</c:v>
                </c:pt>
                <c:pt idx="4">
                  <c:v>2921</c:v>
                </c:pt>
                <c:pt idx="5">
                  <c:v>2097</c:v>
                </c:pt>
                <c:pt idx="6">
                  <c:v>1679</c:v>
                </c:pt>
                <c:pt idx="7">
                  <c:v>3289</c:v>
                </c:pt>
                <c:pt idx="8">
                  <c:v>571</c:v>
                </c:pt>
                <c:pt idx="9">
                  <c:v>424</c:v>
                </c:pt>
                <c:pt idx="10">
                  <c:v>424</c:v>
                </c:pt>
                <c:pt idx="11">
                  <c:v>355</c:v>
                </c:pt>
                <c:pt idx="12">
                  <c:v>349</c:v>
                </c:pt>
                <c:pt idx="13">
                  <c:v>680</c:v>
                </c:pt>
                <c:pt idx="15">
                  <c:v>1353</c:v>
                </c:pt>
                <c:pt idx="16">
                  <c:v>2219</c:v>
                </c:pt>
                <c:pt idx="22">
                  <c:v>279</c:v>
                </c:pt>
                <c:pt idx="25">
                  <c:v>600</c:v>
                </c:pt>
                <c:pt idx="37">
                  <c:v>516</c:v>
                </c:pt>
                <c:pt idx="41">
                  <c:v>594</c:v>
                </c:pt>
              </c:numCache>
            </c:numRef>
          </c:val>
        </c:ser>
        <c:ser>
          <c:idx val="12"/>
          <c:order val="12"/>
          <c:tx>
            <c:strRef>
              <c:f>'Days for Exp to Cust'!$A$15</c:f>
              <c:strCache>
                <c:ptCount val="1"/>
                <c:pt idx="0">
                  <c:v>MC FNAC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Cust'!$B$15:$AY$15</c:f>
              <c:numCache>
                <c:formatCode>General</c:formatCode>
                <c:ptCount val="50"/>
                <c:pt idx="0">
                  <c:v>438</c:v>
                </c:pt>
                <c:pt idx="1">
                  <c:v>8841</c:v>
                </c:pt>
                <c:pt idx="2">
                  <c:v>2175</c:v>
                </c:pt>
                <c:pt idx="3">
                  <c:v>928</c:v>
                </c:pt>
                <c:pt idx="4">
                  <c:v>2696</c:v>
                </c:pt>
                <c:pt idx="5">
                  <c:v>4011</c:v>
                </c:pt>
                <c:pt idx="6">
                  <c:v>2407</c:v>
                </c:pt>
                <c:pt idx="7">
                  <c:v>2952</c:v>
                </c:pt>
                <c:pt idx="8">
                  <c:v>1317</c:v>
                </c:pt>
                <c:pt idx="9">
                  <c:v>126</c:v>
                </c:pt>
                <c:pt idx="10">
                  <c:v>1236</c:v>
                </c:pt>
                <c:pt idx="11">
                  <c:v>2188</c:v>
                </c:pt>
                <c:pt idx="13">
                  <c:v>201</c:v>
                </c:pt>
                <c:pt idx="15">
                  <c:v>888</c:v>
                </c:pt>
                <c:pt idx="18">
                  <c:v>537</c:v>
                </c:pt>
                <c:pt idx="20">
                  <c:v>543</c:v>
                </c:pt>
                <c:pt idx="22">
                  <c:v>443</c:v>
                </c:pt>
              </c:numCache>
            </c:numRef>
          </c:val>
        </c:ser>
        <c:ser>
          <c:idx val="13"/>
          <c:order val="13"/>
          <c:tx>
            <c:strRef>
              <c:f>'Days for Exp to Cust'!$A$16</c:f>
              <c:strCache>
                <c:ptCount val="1"/>
                <c:pt idx="0">
                  <c:v>MDL Def - 2208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Cust'!$B$16:$AY$16</c:f>
              <c:numCache>
                <c:formatCode>General</c:formatCode>
                <c:ptCount val="50"/>
                <c:pt idx="0">
                  <c:v>1</c:v>
                </c:pt>
                <c:pt idx="1">
                  <c:v>6</c:v>
                </c:pt>
                <c:pt idx="4">
                  <c:v>4</c:v>
                </c:pt>
                <c:pt idx="5">
                  <c:v>5</c:v>
                </c:pt>
                <c:pt idx="6">
                  <c:v>2</c:v>
                </c:pt>
                <c:pt idx="7">
                  <c:v>2</c:v>
                </c:pt>
                <c:pt idx="9">
                  <c:v>1</c:v>
                </c:pt>
                <c:pt idx="10">
                  <c:v>1</c:v>
                </c:pt>
                <c:pt idx="11">
                  <c:v>2</c:v>
                </c:pt>
                <c:pt idx="12">
                  <c:v>1</c:v>
                </c:pt>
                <c:pt idx="20">
                  <c:v>1</c:v>
                </c:pt>
              </c:numCache>
            </c:numRef>
          </c:val>
        </c:ser>
        <c:ser>
          <c:idx val="14"/>
          <c:order val="14"/>
          <c:tx>
            <c:strRef>
              <c:f>'Days for Exp to Cust'!$A$17</c:f>
              <c:strCache>
                <c:ptCount val="1"/>
                <c:pt idx="0">
                  <c:v>Media Markt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Cust'!$B$17:$AY$17</c:f>
              <c:numCache>
                <c:formatCode>General</c:formatCode>
                <c:ptCount val="50"/>
                <c:pt idx="8">
                  <c:v>774</c:v>
                </c:pt>
                <c:pt idx="9">
                  <c:v>2595</c:v>
                </c:pt>
                <c:pt idx="12">
                  <c:v>1</c:v>
                </c:pt>
                <c:pt idx="15">
                  <c:v>700</c:v>
                </c:pt>
              </c:numCache>
            </c:numRef>
          </c:val>
        </c:ser>
        <c:ser>
          <c:idx val="15"/>
          <c:order val="15"/>
          <c:tx>
            <c:strRef>
              <c:f>'Days for Exp to Cust'!$A$18</c:f>
              <c:strCache>
                <c:ptCount val="1"/>
                <c:pt idx="0">
                  <c:v>Moviflor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Cust'!$B$18:$AY$18</c:f>
              <c:numCache>
                <c:formatCode>General</c:formatCode>
                <c:ptCount val="50"/>
                <c:pt idx="0">
                  <c:v>257</c:v>
                </c:pt>
                <c:pt idx="1">
                  <c:v>283</c:v>
                </c:pt>
                <c:pt idx="2">
                  <c:v>320</c:v>
                </c:pt>
                <c:pt idx="3">
                  <c:v>2</c:v>
                </c:pt>
                <c:pt idx="4">
                  <c:v>24</c:v>
                </c:pt>
                <c:pt idx="5">
                  <c:v>35</c:v>
                </c:pt>
                <c:pt idx="6">
                  <c:v>16</c:v>
                </c:pt>
                <c:pt idx="7">
                  <c:v>19</c:v>
                </c:pt>
                <c:pt idx="9">
                  <c:v>11</c:v>
                </c:pt>
                <c:pt idx="10">
                  <c:v>6</c:v>
                </c:pt>
                <c:pt idx="11">
                  <c:v>13</c:v>
                </c:pt>
                <c:pt idx="13">
                  <c:v>2</c:v>
                </c:pt>
                <c:pt idx="40">
                  <c:v>4</c:v>
                </c:pt>
              </c:numCache>
            </c:numRef>
          </c:val>
        </c:ser>
        <c:ser>
          <c:idx val="16"/>
          <c:order val="16"/>
          <c:tx>
            <c:strRef>
              <c:f>'Days for Exp to Cust'!$A$19</c:f>
              <c:strCache>
                <c:ptCount val="1"/>
                <c:pt idx="0">
                  <c:v>Renault MCI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Cust'!$B$19:$AY$19</c:f>
              <c:numCache>
                <c:formatCode>General</c:formatCode>
                <c:ptCount val="50"/>
                <c:pt idx="1">
                  <c:v>1</c:v>
                </c:pt>
              </c:numCache>
            </c:numRef>
          </c:val>
        </c:ser>
        <c:ser>
          <c:idx val="17"/>
          <c:order val="17"/>
          <c:tx>
            <c:strRef>
              <c:f>'Days for Exp to Cust'!$A$20</c:f>
              <c:strCache>
                <c:ptCount val="1"/>
                <c:pt idx="0">
                  <c:v>RP Def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Cust'!$B$20:$AY$20</c:f>
              <c:numCache>
                <c:formatCode>General</c:formatCode>
                <c:ptCount val="50"/>
                <c:pt idx="1">
                  <c:v>5667</c:v>
                </c:pt>
                <c:pt idx="2">
                  <c:v>1733</c:v>
                </c:pt>
                <c:pt idx="3">
                  <c:v>1413</c:v>
                </c:pt>
                <c:pt idx="4">
                  <c:v>3051</c:v>
                </c:pt>
                <c:pt idx="5">
                  <c:v>2669</c:v>
                </c:pt>
                <c:pt idx="6">
                  <c:v>1411</c:v>
                </c:pt>
                <c:pt idx="7">
                  <c:v>3628</c:v>
                </c:pt>
                <c:pt idx="8">
                  <c:v>3311</c:v>
                </c:pt>
                <c:pt idx="9">
                  <c:v>2158</c:v>
                </c:pt>
                <c:pt idx="10">
                  <c:v>633</c:v>
                </c:pt>
                <c:pt idx="11">
                  <c:v>1380</c:v>
                </c:pt>
                <c:pt idx="13">
                  <c:v>1004</c:v>
                </c:pt>
                <c:pt idx="14">
                  <c:v>1134</c:v>
                </c:pt>
                <c:pt idx="15">
                  <c:v>580</c:v>
                </c:pt>
                <c:pt idx="18">
                  <c:v>775</c:v>
                </c:pt>
                <c:pt idx="22">
                  <c:v>533</c:v>
                </c:pt>
                <c:pt idx="25">
                  <c:v>425</c:v>
                </c:pt>
                <c:pt idx="29">
                  <c:v>1089</c:v>
                </c:pt>
                <c:pt idx="35">
                  <c:v>619</c:v>
                </c:pt>
                <c:pt idx="39">
                  <c:v>742</c:v>
                </c:pt>
                <c:pt idx="40">
                  <c:v>320</c:v>
                </c:pt>
              </c:numCache>
            </c:numRef>
          </c:val>
        </c:ser>
        <c:ser>
          <c:idx val="18"/>
          <c:order val="18"/>
          <c:tx>
            <c:strRef>
              <c:f>'Days for Exp to Cust'!$A$21</c:f>
              <c:strCache>
                <c:ptCount val="1"/>
                <c:pt idx="0">
                  <c:v>Salvador Caetano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Cust'!$B$21:$AY$21</c:f>
              <c:numCache>
                <c:formatCode>General</c:formatCode>
                <c:ptCount val="50"/>
                <c:pt idx="0">
                  <c:v>204</c:v>
                </c:pt>
                <c:pt idx="1">
                  <c:v>1573</c:v>
                </c:pt>
                <c:pt idx="2">
                  <c:v>1063</c:v>
                </c:pt>
                <c:pt idx="3">
                  <c:v>45</c:v>
                </c:pt>
                <c:pt idx="4">
                  <c:v>646</c:v>
                </c:pt>
                <c:pt idx="5">
                  <c:v>1065</c:v>
                </c:pt>
                <c:pt idx="6">
                  <c:v>475</c:v>
                </c:pt>
                <c:pt idx="7">
                  <c:v>326</c:v>
                </c:pt>
                <c:pt idx="8">
                  <c:v>77</c:v>
                </c:pt>
                <c:pt idx="9">
                  <c:v>901</c:v>
                </c:pt>
                <c:pt idx="10">
                  <c:v>238</c:v>
                </c:pt>
                <c:pt idx="11">
                  <c:v>203</c:v>
                </c:pt>
                <c:pt idx="12">
                  <c:v>128</c:v>
                </c:pt>
                <c:pt idx="13">
                  <c:v>99</c:v>
                </c:pt>
                <c:pt idx="14">
                  <c:v>68</c:v>
                </c:pt>
                <c:pt idx="19">
                  <c:v>33</c:v>
                </c:pt>
                <c:pt idx="38">
                  <c:v>60</c:v>
                </c:pt>
              </c:numCache>
            </c:numRef>
          </c:val>
        </c:ser>
        <c:ser>
          <c:idx val="19"/>
          <c:order val="19"/>
          <c:tx>
            <c:strRef>
              <c:f>'Days for Exp to Cust'!$A$22</c:f>
              <c:strCache>
                <c:ptCount val="1"/>
                <c:pt idx="0">
                  <c:v>SZ Def - 6508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Cust'!$B$22:$AY$22</c:f>
              <c:numCache>
                <c:formatCode>General</c:formatCode>
                <c:ptCount val="50"/>
                <c:pt idx="0">
                  <c:v>1</c:v>
                </c:pt>
                <c:pt idx="1">
                  <c:v>7</c:v>
                </c:pt>
                <c:pt idx="4">
                  <c:v>8</c:v>
                </c:pt>
                <c:pt idx="5">
                  <c:v>4</c:v>
                </c:pt>
                <c:pt idx="6">
                  <c:v>12</c:v>
                </c:pt>
                <c:pt idx="7">
                  <c:v>9</c:v>
                </c:pt>
                <c:pt idx="8">
                  <c:v>3</c:v>
                </c:pt>
                <c:pt idx="10">
                  <c:v>1</c:v>
                </c:pt>
                <c:pt idx="11">
                  <c:v>2</c:v>
                </c:pt>
                <c:pt idx="13">
                  <c:v>2</c:v>
                </c:pt>
                <c:pt idx="14">
                  <c:v>1</c:v>
                </c:pt>
                <c:pt idx="20">
                  <c:v>1</c:v>
                </c:pt>
                <c:pt idx="29">
                  <c:v>1</c:v>
                </c:pt>
              </c:numCache>
            </c:numRef>
          </c:val>
        </c:ser>
        <c:ser>
          <c:idx val="20"/>
          <c:order val="20"/>
          <c:tx>
            <c:strRef>
              <c:f>'Days for Exp to Cust'!$A$23</c:f>
              <c:strCache>
                <c:ptCount val="1"/>
                <c:pt idx="0">
                  <c:v>Tien 21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Cust'!$B$23:$AY$23</c:f>
              <c:numCache>
                <c:formatCode>General</c:formatCode>
                <c:ptCount val="50"/>
                <c:pt idx="0">
                  <c:v>45</c:v>
                </c:pt>
                <c:pt idx="1">
                  <c:v>179</c:v>
                </c:pt>
                <c:pt idx="2">
                  <c:v>41</c:v>
                </c:pt>
                <c:pt idx="4">
                  <c:v>98</c:v>
                </c:pt>
                <c:pt idx="5">
                  <c:v>66</c:v>
                </c:pt>
                <c:pt idx="6">
                  <c:v>62</c:v>
                </c:pt>
                <c:pt idx="7">
                  <c:v>82</c:v>
                </c:pt>
                <c:pt idx="9">
                  <c:v>22</c:v>
                </c:pt>
                <c:pt idx="10">
                  <c:v>23</c:v>
                </c:pt>
                <c:pt idx="11">
                  <c:v>40</c:v>
                </c:pt>
                <c:pt idx="13">
                  <c:v>34</c:v>
                </c:pt>
                <c:pt idx="14">
                  <c:v>29</c:v>
                </c:pt>
                <c:pt idx="15">
                  <c:v>14</c:v>
                </c:pt>
                <c:pt idx="22">
                  <c:v>17</c:v>
                </c:pt>
                <c:pt idx="40">
                  <c:v>10</c:v>
                </c:pt>
              </c:numCache>
            </c:numRef>
          </c:val>
        </c:ser>
        <c:ser>
          <c:idx val="21"/>
          <c:order val="21"/>
          <c:tx>
            <c:strRef>
              <c:f>'Days for Exp to Cust'!$A$24</c:f>
              <c:strCache>
                <c:ptCount val="1"/>
                <c:pt idx="0">
                  <c:v>Vobis -6843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Cust'!$B$24:$AY$24</c:f>
              <c:numCache>
                <c:formatCode>General</c:formatCode>
                <c:ptCount val="50"/>
                <c:pt idx="0">
                  <c:v>3</c:v>
                </c:pt>
                <c:pt idx="1">
                  <c:v>28</c:v>
                </c:pt>
                <c:pt idx="4">
                  <c:v>16</c:v>
                </c:pt>
                <c:pt idx="5">
                  <c:v>10</c:v>
                </c:pt>
                <c:pt idx="6">
                  <c:v>12</c:v>
                </c:pt>
                <c:pt idx="7">
                  <c:v>8</c:v>
                </c:pt>
                <c:pt idx="8">
                  <c:v>7</c:v>
                </c:pt>
                <c:pt idx="10">
                  <c:v>2</c:v>
                </c:pt>
                <c:pt idx="11">
                  <c:v>3</c:v>
                </c:pt>
                <c:pt idx="12">
                  <c:v>1</c:v>
                </c:pt>
                <c:pt idx="13">
                  <c:v>4</c:v>
                </c:pt>
                <c:pt idx="14">
                  <c:v>7</c:v>
                </c:pt>
                <c:pt idx="20">
                  <c:v>8</c:v>
                </c:pt>
                <c:pt idx="27">
                  <c:v>1</c:v>
                </c:pt>
              </c:numCache>
            </c:numRef>
          </c:val>
        </c:ser>
        <c:ser>
          <c:idx val="22"/>
          <c:order val="22"/>
          <c:tx>
            <c:strRef>
              <c:f>'Days for Exp to Cust'!$A$25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Cust'!$B$25:$AY$25</c:f>
              <c:numCache>
                <c:formatCode>General</c:formatCode>
                <c:ptCount val="50"/>
                <c:pt idx="0">
                  <c:v>306</c:v>
                </c:pt>
                <c:pt idx="1">
                  <c:v>447</c:v>
                </c:pt>
                <c:pt idx="2">
                  <c:v>443</c:v>
                </c:pt>
                <c:pt idx="4">
                  <c:v>30</c:v>
                </c:pt>
                <c:pt idx="5">
                  <c:v>74</c:v>
                </c:pt>
                <c:pt idx="6">
                  <c:v>36</c:v>
                </c:pt>
                <c:pt idx="7">
                  <c:v>25</c:v>
                </c:pt>
                <c:pt idx="9">
                  <c:v>25</c:v>
                </c:pt>
                <c:pt idx="10">
                  <c:v>10</c:v>
                </c:pt>
                <c:pt idx="11">
                  <c:v>31</c:v>
                </c:pt>
                <c:pt idx="13">
                  <c:v>14</c:v>
                </c:pt>
                <c:pt idx="18">
                  <c:v>10</c:v>
                </c:pt>
                <c:pt idx="20">
                  <c:v>4</c:v>
                </c:pt>
                <c:pt idx="26">
                  <c:v>3</c:v>
                </c:pt>
                <c:pt idx="27">
                  <c:v>8</c:v>
                </c:pt>
                <c:pt idx="29">
                  <c:v>5</c:v>
                </c:pt>
                <c:pt idx="31">
                  <c:v>6</c:v>
                </c:pt>
                <c:pt idx="33">
                  <c:v>11</c:v>
                </c:pt>
                <c:pt idx="38">
                  <c:v>2</c:v>
                </c:pt>
                <c:pt idx="40">
                  <c:v>5</c:v>
                </c:pt>
                <c:pt idx="42">
                  <c:v>7</c:v>
                </c:pt>
              </c:numCache>
            </c:numRef>
          </c:val>
        </c:ser>
        <c:ser>
          <c:idx val="23"/>
          <c:order val="23"/>
          <c:tx>
            <c:strRef>
              <c:f>'Days for Exp to Cust'!$A$26</c:f>
              <c:strCache>
                <c:ptCount val="1"/>
                <c:pt idx="0">
                  <c:v>Worten def - 6806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</c:spPr>
          <c:invertIfNegative val="0"/>
          <c:cat>
            <c:numRef>
              <c:f>'Days for Exp to Cust'!$B$2:$AY$2</c:f>
              <c:numCache>
                <c:formatCode>General</c:formatCode>
                <c:ptCount val="5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38</c:v>
                </c:pt>
                <c:pt idx="37">
                  <c:v>39</c:v>
                </c:pt>
                <c:pt idx="38">
                  <c:v>41</c:v>
                </c:pt>
                <c:pt idx="39">
                  <c:v>42</c:v>
                </c:pt>
                <c:pt idx="40">
                  <c:v>43</c:v>
                </c:pt>
                <c:pt idx="41">
                  <c:v>46</c:v>
                </c:pt>
                <c:pt idx="42">
                  <c:v>48</c:v>
                </c:pt>
                <c:pt idx="43">
                  <c:v>49</c:v>
                </c:pt>
                <c:pt idx="44">
                  <c:v>53</c:v>
                </c:pt>
                <c:pt idx="45">
                  <c:v>54</c:v>
                </c:pt>
                <c:pt idx="46">
                  <c:v>56</c:v>
                </c:pt>
                <c:pt idx="47">
                  <c:v>60</c:v>
                </c:pt>
                <c:pt idx="48">
                  <c:v>61</c:v>
                </c:pt>
                <c:pt idx="49">
                  <c:v>76</c:v>
                </c:pt>
              </c:numCache>
            </c:numRef>
          </c:cat>
          <c:val>
            <c:numRef>
              <c:f>'Days for Exp to Cust'!$B$26:$AY$26</c:f>
              <c:numCache>
                <c:formatCode>General</c:formatCode>
                <c:ptCount val="50"/>
                <c:pt idx="0">
                  <c:v>234</c:v>
                </c:pt>
                <c:pt idx="1">
                  <c:v>2284</c:v>
                </c:pt>
                <c:pt idx="4">
                  <c:v>1559</c:v>
                </c:pt>
                <c:pt idx="5">
                  <c:v>586</c:v>
                </c:pt>
                <c:pt idx="6">
                  <c:v>1303</c:v>
                </c:pt>
                <c:pt idx="7">
                  <c:v>836</c:v>
                </c:pt>
                <c:pt idx="8">
                  <c:v>177</c:v>
                </c:pt>
                <c:pt idx="9">
                  <c:v>95</c:v>
                </c:pt>
                <c:pt idx="10">
                  <c:v>134</c:v>
                </c:pt>
                <c:pt idx="11">
                  <c:v>345</c:v>
                </c:pt>
                <c:pt idx="12">
                  <c:v>369</c:v>
                </c:pt>
                <c:pt idx="13">
                  <c:v>414</c:v>
                </c:pt>
                <c:pt idx="14">
                  <c:v>562</c:v>
                </c:pt>
                <c:pt idx="17">
                  <c:v>122</c:v>
                </c:pt>
                <c:pt idx="20">
                  <c:v>353</c:v>
                </c:pt>
                <c:pt idx="21">
                  <c:v>303</c:v>
                </c:pt>
                <c:pt idx="24">
                  <c:v>133</c:v>
                </c:pt>
                <c:pt idx="27">
                  <c:v>113</c:v>
                </c:pt>
                <c:pt idx="30">
                  <c:v>115</c:v>
                </c:pt>
                <c:pt idx="36">
                  <c:v>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2821664"/>
        <c:axId val="162822056"/>
      </c:barChart>
      <c:catAx>
        <c:axId val="16282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822056"/>
        <c:crosses val="autoZero"/>
        <c:auto val="1"/>
        <c:lblAlgn val="ctr"/>
        <c:lblOffset val="100"/>
        <c:noMultiLvlLbl val="0"/>
      </c:catAx>
      <c:valAx>
        <c:axId val="162822056"/>
        <c:scaling>
          <c:orientation val="minMax"/>
          <c:max val="26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2821664"/>
        <c:crosses val="autoZero"/>
        <c:crossBetween val="between"/>
        <c:majorUnit val="100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604310907546544"/>
          <c:y val="7.3721356926173418E-2"/>
          <c:w val="0.13535544978558961"/>
          <c:h val="0.532688342355162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0A155-49C6-429B-9283-1C0777A1C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6</Pages>
  <Words>1727</Words>
  <Characters>9332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108</cp:revision>
  <cp:lastPrinted>2017-02-22T14:20:00Z</cp:lastPrinted>
  <dcterms:created xsi:type="dcterms:W3CDTF">2017-02-17T14:47:00Z</dcterms:created>
  <dcterms:modified xsi:type="dcterms:W3CDTF">2017-03-10T14:50:00Z</dcterms:modified>
</cp:coreProperties>
</file>