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4540A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340E96">
              <w:rPr>
                <w:noProof/>
                <w:sz w:val="22"/>
              </w:rPr>
              <w:t>9</w:t>
            </w:r>
            <w:r w:rsidR="004540A3">
              <w:rPr>
                <w:noProof/>
                <w:sz w:val="22"/>
              </w:rPr>
              <w:t>3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4540A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4540A3">
              <w:t>SPORTZONE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="004F2D3B">
              <w:rPr>
                <w:rFonts w:ascii="Arial Unicode MS" w:eastAsia="Arial Unicode MS" w:hAnsi="Arial Unicode MS" w:cs="Arial Unicode MS"/>
                <w:noProof/>
              </w:rPr>
              <w:t>Provisório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F2D3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4540A3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33A93">
              <w:rPr>
                <w:noProof/>
                <w:sz w:val="20"/>
              </w:rPr>
              <w:t>2</w:t>
            </w:r>
            <w:r w:rsidR="004540A3">
              <w:rPr>
                <w:noProof/>
                <w:sz w:val="20"/>
              </w:rPr>
              <w:t>1 P SPOZ FM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660" w:rsidRDefault="00F94660" w:rsidP="006E11A1">
      <w:pPr>
        <w:pStyle w:val="Blockquote"/>
      </w:pPr>
      <w:r>
        <w:separator/>
      </w:r>
    </w:p>
  </w:endnote>
  <w:endnote w:type="continuationSeparator" w:id="0">
    <w:p w:rsidR="00F94660" w:rsidRDefault="00F94660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4540A3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660" w:rsidRDefault="00F94660" w:rsidP="006E11A1">
      <w:pPr>
        <w:pStyle w:val="Blockquote"/>
      </w:pPr>
      <w:r>
        <w:separator/>
      </w:r>
    </w:p>
  </w:footnote>
  <w:footnote w:type="continuationSeparator" w:id="0">
    <w:p w:rsidR="00F94660" w:rsidRDefault="00F94660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WhMaOeHwjUVLyH5YRk/7KUVDOBs=" w:salt="W9+nzeci9mysnDzglCllhw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544E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0E9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40A3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4F2D3B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33A93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94660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0DD34-6848-4C82-88FE-A14ABFC6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4149</Words>
  <Characters>22405</Characters>
  <Application>Microsoft Office Word</Application>
  <DocSecurity>0</DocSecurity>
  <Lines>186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2010-12-06T16:06:00Z</dcterms:created>
  <dcterms:modified xsi:type="dcterms:W3CDTF">2010-12-06T16:06:00Z</dcterms:modified>
</cp:coreProperties>
</file>