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D" w:rsidRPr="00CE39B4" w:rsidRDefault="004628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r>
        <w:rPr>
          <w:rFonts w:cs="Arial"/>
          <w:b/>
          <w:bCs/>
          <w:noProof/>
          <w:sz w:val="14"/>
          <w:szCs w:val="16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CBE57C" wp14:editId="194859B1">
                <wp:simplePos x="0" y="0"/>
                <wp:positionH relativeFrom="column">
                  <wp:posOffset>-100965</wp:posOffset>
                </wp:positionH>
                <wp:positionV relativeFrom="paragraph">
                  <wp:posOffset>381635</wp:posOffset>
                </wp:positionV>
                <wp:extent cx="6276975" cy="1162050"/>
                <wp:effectExtent l="0" t="0" r="28575" b="1905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620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2E51D" id="Rectangle 45" o:spid="_x0000_s1026" style="position:absolute;margin-left:-7.95pt;margin-top:30.05pt;width:494.25pt;height:9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" filled="f">
                <v:stroke dashstyle="1 1" endcap="round"/>
              </v:rect>
            </w:pict>
          </mc:Fallback>
        </mc:AlternateConten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E929B9">
        <w:rPr>
          <w:rFonts w:cs="Arial"/>
          <w:bCs/>
          <w:sz w:val="22"/>
        </w:rPr>
      </w:r>
      <w:r w:rsidR="00E929B9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:rsidR="00F04107" w:rsidRPr="00550AF2" w:rsidRDefault="00F04107" w:rsidP="00820B0D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E929B9">
        <w:rPr>
          <w:rFonts w:cs="Arial"/>
          <w:bCs/>
          <w:sz w:val="22"/>
        </w:rPr>
      </w:r>
      <w:r w:rsidR="00E929B9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E929B9">
        <w:rPr>
          <w:rFonts w:cs="Arial"/>
          <w:bCs/>
          <w:sz w:val="22"/>
        </w:rPr>
      </w:r>
      <w:r w:rsidR="00E929B9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12149D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1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8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T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D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E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R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0D6566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611662" w:rsidP="000D6566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D369E0" w:rsidRPr="008B11EB" w:rsidRDefault="006C22AE" w:rsidP="000D6566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49421D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U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º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6152A4" w:rsidRDefault="008B11EB" w:rsidP="00FE3D89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6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4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814C1" w:rsidRDefault="00BC2E43" w:rsidP="002C3E87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2C3E87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BC2E43" w:rsidRPr="008B11EB" w:rsidRDefault="00BC2E43" w:rsidP="00210955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4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8814C1" w:rsidRDefault="008814C1" w:rsidP="008814C1"/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9150"/>
      </w:tblGrid>
      <w:tr w:rsidR="00992C9B" w:rsidRPr="006152A4" w:rsidTr="00B16AFE">
        <w:trPr>
          <w:jc w:val="center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50" w:type="dxa"/>
            <w:tcBorders>
              <w:bottom w:val="nil"/>
            </w:tcBorders>
          </w:tcPr>
          <w:p w:rsidR="00D1226A" w:rsidRPr="00683C3F" w:rsidRDefault="00D1226A" w:rsidP="001D28EC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683C3F">
              <w:rPr>
                <w:rFonts w:cs="Arial"/>
                <w:b/>
                <w:sz w:val="22"/>
                <w:szCs w:val="22"/>
              </w:rPr>
              <w:t xml:space="preserve">Caracterização da Entidade no Serviço 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MULTIBANCO</w:t>
            </w:r>
            <w:r w:rsidRPr="00683C3F">
              <w:rPr>
                <w:rFonts w:cs="Arial"/>
                <w:b/>
                <w:sz w:val="22"/>
                <w:szCs w:val="22"/>
              </w:rPr>
              <w:t xml:space="preserve"> Pagamento de Serviço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s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</w:tcBorders>
          </w:tcPr>
          <w:p w:rsidR="00D1226A" w:rsidRPr="00683C3F" w:rsidRDefault="00D1226A" w:rsidP="00511117">
            <w:pPr>
              <w:spacing w:after="120" w:line="240" w:lineRule="auto"/>
              <w:rPr>
                <w:sz w:val="14"/>
                <w:szCs w:val="14"/>
              </w:rPr>
            </w:pPr>
            <w:r w:rsidRPr="00683C3F">
              <w:rPr>
                <w:rFonts w:cs="Arial"/>
                <w:sz w:val="14"/>
                <w:szCs w:val="14"/>
              </w:rPr>
              <w:t xml:space="preserve">A SIBS FPS atribuirá um número de entidade no serviço </w:t>
            </w:r>
            <w:r w:rsidR="001D28EC" w:rsidRPr="00683C3F">
              <w:rPr>
                <w:rFonts w:cs="Arial"/>
                <w:sz w:val="14"/>
                <w:szCs w:val="14"/>
              </w:rPr>
              <w:t>MULTIBANCO</w:t>
            </w:r>
            <w:r w:rsidRPr="00683C3F">
              <w:rPr>
                <w:rFonts w:cs="Arial"/>
                <w:sz w:val="14"/>
                <w:szCs w:val="14"/>
              </w:rPr>
              <w:t xml:space="preserve">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spacing w:line="240" w:lineRule="auto"/>
              <w:ind w:left="783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40" w:after="0" w:line="240" w:lineRule="auto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120" w:after="0" w:line="240" w:lineRule="auto"/>
              <w:ind w:left="493" w:firstLine="284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2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0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E929B9">
              <w:rPr>
                <w:sz w:val="16"/>
                <w:szCs w:val="16"/>
                <w:u w:val="single"/>
              </w:rPr>
              <w:t>6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E929B9">
              <w:rPr>
                <w:sz w:val="16"/>
                <w:szCs w:val="16"/>
                <w:u w:val="single"/>
              </w:rPr>
              <w:t>0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E929B9">
              <w:rPr>
                <w:sz w:val="16"/>
                <w:szCs w:val="16"/>
                <w:u w:val="single"/>
              </w:rPr>
              <w:t>1</w:t>
            </w:r>
            <w:bookmarkStart w:id="0" w:name="_GoBack"/>
            <w:bookmarkEnd w:id="0"/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:rsidR="000D0DDC" w:rsidRPr="006152A4" w:rsidRDefault="000D0DDC" w:rsidP="00CC5186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 xml:space="preserve">Indique se a Entidade se destina ao pagamento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CC5186">
            <w:pPr>
              <w:keepNext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CC5186">
            <w:pPr>
              <w:pStyle w:val="ListParagraph"/>
              <w:keepNext/>
              <w:numPr>
                <w:ilvl w:val="0"/>
                <w:numId w:val="5"/>
              </w:numPr>
              <w:tabs>
                <w:tab w:val="right" w:leader="dot" w:pos="8681"/>
              </w:tabs>
              <w:spacing w:before="120" w:line="240" w:lineRule="auto"/>
              <w:ind w:left="477" w:hanging="284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>Receção de ficheiros e notificações</w:t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BC5BA6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Qual a frequência de receção do ficheiro </w:t>
            </w:r>
            <w:r w:rsidR="00BC5BA6" w:rsidRPr="00B16AFE">
              <w:rPr>
                <w:rFonts w:cs="Arial"/>
                <w:b/>
                <w:bCs/>
                <w:sz w:val="16"/>
                <w:szCs w:val="16"/>
              </w:rPr>
              <w:t>MEPS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1x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E929B9">
              <w:rPr>
                <w:rFonts w:cs="Arial"/>
                <w:bCs/>
                <w:sz w:val="14"/>
                <w:szCs w:val="14"/>
              </w:rPr>
            </w:r>
            <w:r w:rsidR="00E929B9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     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3x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E929B9">
              <w:rPr>
                <w:rFonts w:cs="Arial"/>
                <w:bCs/>
                <w:sz w:val="14"/>
                <w:szCs w:val="14"/>
              </w:rPr>
            </w:r>
            <w:r w:rsidR="00E929B9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  <w:vAlign w:val="center"/>
          </w:tcPr>
          <w:p w:rsidR="00B16AFE" w:rsidRPr="00B16AFE" w:rsidRDefault="00B16AFE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contextualSpacing w:val="0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Notificação da transação em </w:t>
            </w:r>
            <w:r w:rsidRPr="00B16AFE">
              <w:rPr>
                <w:rFonts w:cs="Arial"/>
                <w:b/>
                <w:bCs/>
                <w:i/>
                <w:sz w:val="16"/>
                <w:szCs w:val="16"/>
              </w:rPr>
              <w:t>real time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Sim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E929B9">
              <w:rPr>
                <w:rFonts w:cs="Arial"/>
                <w:bCs/>
                <w:sz w:val="14"/>
                <w:szCs w:val="14"/>
              </w:rPr>
            </w:r>
            <w:r w:rsidR="00E929B9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</w:t>
            </w:r>
            <w:r w:rsidRPr="00B16AFE">
              <w:rPr>
                <w:rFonts w:cs="Arial"/>
                <w:b/>
                <w:bCs/>
                <w:sz w:val="14"/>
                <w:szCs w:val="14"/>
              </w:rPr>
              <w:t>N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ão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E929B9">
              <w:rPr>
                <w:rFonts w:cs="Arial"/>
                <w:bCs/>
                <w:sz w:val="14"/>
                <w:szCs w:val="14"/>
              </w:rPr>
            </w:r>
            <w:r w:rsidR="00E929B9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CC5186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single" w:sz="4" w:space="0" w:color="auto"/>
              <w:bottom w:val="nil"/>
            </w:tcBorders>
            <w:vAlign w:val="center"/>
          </w:tcPr>
          <w:p w:rsidR="00B16AFE" w:rsidRPr="00CC5186" w:rsidRDefault="00B16AFE" w:rsidP="00B16AFE">
            <w:pPr>
              <w:keepNext/>
              <w:spacing w:line="240" w:lineRule="auto"/>
              <w:jc w:val="center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single" w:sz="4" w:space="0" w:color="auto"/>
              <w:bottom w:val="nil"/>
            </w:tcBorders>
          </w:tcPr>
          <w:p w:rsidR="00B16AFE" w:rsidRPr="00B16AFE" w:rsidRDefault="00B16AFE" w:rsidP="004F45C1">
            <w:pPr>
              <w:keepNext/>
              <w:tabs>
                <w:tab w:val="right" w:leader="dot" w:pos="8681"/>
              </w:tabs>
              <w:spacing w:line="240" w:lineRule="auto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A SIBS FPS permite a disponibilização de geração de referências de pagamento de serviços em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real</w:t>
            </w:r>
            <w:r w:rsid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 xml:space="preserve">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time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através da Digital Payment Gateway. Neste cenário, as referências disponibilizadas aos Clientes finais são calculadas pelo sistema central da SIBS FPS não sendo responsabilidade das Entidades de Pagamento de Serviços o posicionamento das referências nos sistemas da SIBS FPS.</w:t>
            </w:r>
          </w:p>
        </w:tc>
      </w:tr>
      <w:tr w:rsidR="00CC5186" w:rsidRPr="00CC5186" w:rsidTr="00D956E8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C5186" w:rsidRPr="00CC5186" w:rsidRDefault="00D956E8" w:rsidP="00D956E8">
            <w:pPr>
              <w:keepNext/>
              <w:jc w:val="center"/>
              <w:rPr>
                <w:color w:val="1F497D" w:themeColor="text2"/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after="120" w:line="240" w:lineRule="auto"/>
              <w:ind w:left="477" w:right="-34" w:hanging="28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Indique se esta entidade de pagamento de serviços deve permitir p</w:t>
            </w:r>
            <w:r w:rsidR="00544809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 xml:space="preserve">edido de geração de referência 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de Pagamento de Serviços:</w:t>
            </w:r>
          </w:p>
          <w:p w:rsidR="00B16AFE" w:rsidRDefault="00D946AE" w:rsidP="00B16AFE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/>
              <w:contextualSpacing w:val="0"/>
              <w:jc w:val="left"/>
              <w:rPr>
                <w:rFonts w:cs="Arial"/>
                <w:b/>
                <w:bCs/>
                <w:color w:val="4F81BD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 - sem pedido de geração de referências"/>
                    <w:listEntry w:val="P - com pedido de geração de referências (DPG)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Legenda:</w:t>
            </w:r>
          </w:p>
          <w:p w:rsidR="00B16AFE" w:rsidRP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E - Sem pedido de geração de referências (</w:t>
            </w:r>
            <w:r w:rsidRPr="004F45C1">
              <w:rPr>
                <w:rFonts w:cs="Arial"/>
                <w:b/>
                <w:bCs/>
                <w:i/>
                <w:color w:val="1F497D" w:themeColor="text2"/>
                <w:sz w:val="14"/>
                <w:szCs w:val="14"/>
              </w:rPr>
              <w:t>default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)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fora do âmbito da Digital Payment Gateway</w:t>
            </w:r>
            <w:r w:rsidR="004F45C1"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P - Com pedido de geração de referências de Pagamento de Serviços (Payment Gateway)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à disponibilização do Pagamento de Serviços no âmbito da Digital Payment Gateway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D956E8" w:rsidRPr="00B16AFE" w:rsidRDefault="004F45C1" w:rsidP="00945BDF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line="240" w:lineRule="auto"/>
              <w:ind w:left="476" w:right="-34"/>
              <w:contextualSpacing w:val="0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O</w:t>
            </w:r>
            <w:r w:rsidR="00D956E8" w:rsidRPr="00D956E8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pedido de geração de referências através da Digital Payment Gateway implica a seleção do método de Validação de Pagamento por Ficheiro de Clientes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 ver ponto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begin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instrText xml:space="preserve"> REF _Ref483226008 \r \h </w:instrTex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separate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3.7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end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945BDF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bookmarkStart w:id="1" w:name="_Ref483226008"/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  <w:bookmarkEnd w:id="1"/>
          </w:p>
          <w:p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E929B9">
              <w:rPr>
                <w:sz w:val="16"/>
                <w:szCs w:val="16"/>
              </w:rPr>
            </w:r>
            <w:r w:rsidR="00E929B9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E929B9">
              <w:rPr>
                <w:rFonts w:cs="Arial"/>
                <w:bCs/>
                <w:sz w:val="16"/>
                <w:szCs w:val="16"/>
              </w:rPr>
            </w:r>
            <w:r w:rsidR="00E929B9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</w:t>
            </w:r>
            <w:r w:rsidR="00683C3F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</w:tbl>
    <w:p w:rsidR="00511117" w:rsidRDefault="00511117" w:rsidP="00511117">
      <w:pPr>
        <w:spacing w:line="240" w:lineRule="auto"/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68"/>
        <w:gridCol w:w="2657"/>
      </w:tblGrid>
      <w:tr w:rsidR="0011757E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A9227D" w:rsidRDefault="0011757E" w:rsidP="0005304A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:rsidR="0011757E" w:rsidRPr="00BE7F45" w:rsidRDefault="0011757E" w:rsidP="0005304A">
            <w:pPr>
              <w:keepNext/>
              <w:keepLines/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E929B9">
              <w:rPr>
                <w:rFonts w:cs="Arial"/>
                <w:sz w:val="16"/>
                <w:szCs w:val="16"/>
              </w:rPr>
            </w:r>
            <w:r w:rsidR="00E929B9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</w:tcPr>
          <w:p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7" w:type="dxa"/>
            <w:tcBorders>
              <w:top w:val="nil"/>
              <w:bottom w:val="nil"/>
            </w:tcBorders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E929B9">
              <w:rPr>
                <w:rFonts w:cs="Arial"/>
                <w:sz w:val="16"/>
                <w:szCs w:val="16"/>
              </w:rPr>
            </w:r>
            <w:r w:rsidR="00E929B9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E929B9">
              <w:rPr>
                <w:rFonts w:cs="Arial"/>
                <w:sz w:val="16"/>
                <w:szCs w:val="16"/>
              </w:rPr>
            </w:r>
            <w:r w:rsidR="00E929B9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E929B9">
              <w:rPr>
                <w:rFonts w:cs="Arial"/>
                <w:sz w:val="16"/>
                <w:szCs w:val="16"/>
              </w:rPr>
            </w:r>
            <w:r w:rsidR="00E929B9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:rsidR="00C36FE3" w:rsidRDefault="00C36FE3" w:rsidP="00DA1BB9">
      <w:pPr>
        <w:spacing w:line="240" w:lineRule="auto"/>
      </w:pPr>
    </w:p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3D05A5" w:rsidRDefault="003D05A5" w:rsidP="00DA1BB9"/>
    <w:p w:rsidR="003D05A5" w:rsidRDefault="003D05A5" w:rsidP="00DA1BB9"/>
    <w:p w:rsidR="003D05A5" w:rsidRDefault="003D05A5" w:rsidP="00DA1BB9"/>
    <w:p w:rsidR="003D05A5" w:rsidRDefault="003D05A5" w:rsidP="00DA1BB9"/>
    <w:p w:rsidR="00DA1BB9" w:rsidRDefault="00DA1BB9" w:rsidP="00DA1BB9"/>
    <w:p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:rsidTr="00D1226A">
        <w:tc>
          <w:tcPr>
            <w:tcW w:w="0" w:type="auto"/>
            <w:shd w:val="clear" w:color="auto" w:fill="8DB3E2" w:themeFill="text2" w:themeFillTint="66"/>
          </w:tcPr>
          <w:p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:rsidTr="00D1226A">
        <w:tc>
          <w:tcPr>
            <w:tcW w:w="0" w:type="auto"/>
          </w:tcPr>
          <w:p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A Empresa interessada no</w:t>
            </w:r>
            <w:r w:rsidR="00D04312">
              <w:rPr>
                <w:sz w:val="18"/>
                <w:szCs w:val="18"/>
              </w:rPr>
              <w:t xml:space="preserve"> </w:t>
            </w:r>
            <w:r w:rsidR="00D04312">
              <w:rPr>
                <w:b/>
                <w:sz w:val="18"/>
                <w:szCs w:val="18"/>
              </w:rPr>
              <w:t>Serviço MULTIBANCO Pagamentos de Serviços,</w:t>
            </w:r>
            <w:r w:rsidR="00D04312" w:rsidRPr="00D04312">
              <w:rPr>
                <w:sz w:val="18"/>
                <w:szCs w:val="18"/>
              </w:rPr>
              <w:t xml:space="preserve"> disponíveis</w:t>
            </w:r>
            <w:r w:rsidRPr="00D15D80">
              <w:rPr>
                <w:b/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 xml:space="preserve">junto </w:t>
            </w:r>
            <w:r w:rsidR="00DA1D68">
              <w:rPr>
                <w:sz w:val="18"/>
                <w:szCs w:val="18"/>
              </w:rPr>
              <w:t xml:space="preserve">de uma Instituição que possa contratar o serviço junto </w:t>
            </w:r>
            <w:r w:rsidR="00D04312">
              <w:rPr>
                <w:sz w:val="18"/>
                <w:szCs w:val="18"/>
              </w:rPr>
              <w:t>da SIBS FPS</w:t>
            </w:r>
            <w:r>
              <w:rPr>
                <w:sz w:val="18"/>
                <w:szCs w:val="18"/>
              </w:rPr>
              <w:t>.</w:t>
            </w:r>
          </w:p>
          <w:p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D04312">
              <w:rPr>
                <w:sz w:val="18"/>
                <w:szCs w:val="18"/>
              </w:rPr>
              <w:t>Serviços MULTIBANCO</w:t>
            </w:r>
            <w:r w:rsidR="009D5A61">
              <w:rPr>
                <w:sz w:val="18"/>
                <w:szCs w:val="18"/>
              </w:rPr>
              <w:t xml:space="preserve">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/ </w:t>
            </w:r>
            <w:r w:rsidR="009D5A61" w:rsidRPr="00683C3F">
              <w:rPr>
                <w:b/>
                <w:bCs/>
                <w:i/>
                <w:sz w:val="18"/>
                <w:szCs w:val="18"/>
              </w:rPr>
              <w:t>ACQUIRER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DO SERVIÇO</w:t>
            </w:r>
          </w:p>
          <w:p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</w:t>
            </w:r>
            <w:r w:rsidR="00D04312">
              <w:rPr>
                <w:b/>
                <w:bCs/>
                <w:sz w:val="18"/>
                <w:szCs w:val="18"/>
              </w:rPr>
              <w:t xml:space="preserve"> MULTIBANCO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PAGAMENTO DE SERVIÇOS</w:t>
            </w:r>
          </w:p>
          <w:p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:rsidR="00882C57" w:rsidRPr="00901589" w:rsidRDefault="00882C57" w:rsidP="0005304A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05304A">
      <w:headerReference w:type="default" r:id="rId11"/>
      <w:footerReference w:type="default" r:id="rId12"/>
      <w:footnotePr>
        <w:numFmt w:val="lowerRoman"/>
        <w:numRestart w:val="eachSect"/>
      </w:footnotePr>
      <w:type w:val="continuous"/>
      <w:pgSz w:w="11906" w:h="16838" w:code="9"/>
      <w:pgMar w:top="734" w:right="1134" w:bottom="1418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89" w:rsidRDefault="00FE3D89">
      <w:r>
        <w:separator/>
      </w:r>
    </w:p>
  </w:endnote>
  <w:endnote w:type="continuationSeparator" w:id="0">
    <w:p w:rsidR="00FE3D89" w:rsidRDefault="00FE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FE3D89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FE3D89" w:rsidRPr="00F46A32" w:rsidRDefault="00FE3D89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05"/>
      <w:gridCol w:w="3949"/>
    </w:tblGrid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2004" w:type="pct"/>
        </w:tcPr>
        <w:p w:rsidR="00FE3D89" w:rsidRDefault="00FE3D8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22T13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2017-05-22</w:t>
              </w:r>
            </w:sdtContent>
          </w:sdt>
        </w:p>
        <w:p w:rsidR="00FE3D89" w:rsidRPr="006C1752" w:rsidRDefault="00FE3D89" w:rsidP="0001442D">
          <w:pPr>
            <w:pStyle w:val="Footer"/>
            <w:spacing w:before="60" w:after="60"/>
            <w:jc w:val="right"/>
          </w:pPr>
        </w:p>
      </w:tc>
    </w:tr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2004" w:type="pct"/>
        </w:tcPr>
        <w:p w:rsidR="00FE3D89" w:rsidRPr="006C1752" w:rsidRDefault="00FE3D89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929B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929B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FE3D89" w:rsidTr="0005304A">
      <w:tblPrEx>
        <w:tblBorders>
          <w:top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c>
        <w:tcPr>
          <w:tcW w:w="2996" w:type="pct"/>
        </w:tcPr>
        <w:p w:rsidR="00FE3D89" w:rsidRDefault="00FE3D89" w:rsidP="0005304A">
          <w:pPr>
            <w:pStyle w:val="Footer"/>
            <w:spacing w:before="60" w:after="60"/>
            <w:ind w:left="38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1025210641"/>
              <w:lock w:val="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http://schemas.microsoft.com/sharepoint/v3/fields' xmlns:ns6='6a209ebf-b523-40df-af06-be8204863692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DCSIBS150107</w:t>
              </w:r>
            </w:sdtContent>
          </w:sdt>
        </w:p>
      </w:tc>
      <w:tc>
        <w:tcPr>
          <w:tcW w:w="2004" w:type="pct"/>
        </w:tcPr>
        <w:p w:rsidR="00FE3D89" w:rsidRDefault="00FE3D89" w:rsidP="0005304A">
          <w:pPr>
            <w:pStyle w:val="Footer"/>
            <w:spacing w:before="60" w:after="60"/>
            <w:jc w:val="left"/>
          </w:pPr>
        </w:p>
      </w:tc>
    </w:tr>
  </w:tbl>
  <w:p w:rsidR="00FE3D89" w:rsidRDefault="00FE3D89" w:rsidP="0005304A">
    <w:pPr>
      <w:pStyle w:val="Footer"/>
      <w:spacing w:before="60" w:after="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89" w:rsidRDefault="00FE3D89">
      <w:r>
        <w:separator/>
      </w:r>
    </w:p>
  </w:footnote>
  <w:footnote w:type="continuationSeparator" w:id="0">
    <w:p w:rsidR="00FE3D89" w:rsidRDefault="00FE3D89">
      <w:r>
        <w:continuationSeparator/>
      </w:r>
    </w:p>
  </w:footnote>
  <w:footnote w:id="1">
    <w:p w:rsidR="00FE3D89" w:rsidRPr="00B76D04" w:rsidRDefault="00FE3D89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:rsidR="00FE3D89" w:rsidRPr="00B76D04" w:rsidRDefault="00FE3D89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:rsidR="00FE3D89" w:rsidRPr="00B76D04" w:rsidRDefault="00FE3D89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:rsidR="00FE3D89" w:rsidRDefault="00FE3D89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FE3D89" w:rsidRPr="00002910" w:rsidTr="00BC41D8">
      <w:tc>
        <w:tcPr>
          <w:tcW w:w="1134" w:type="pct"/>
        </w:tcPr>
        <w:p w:rsidR="00FE3D89" w:rsidRPr="00002910" w:rsidRDefault="00FE3D89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:rsidR="00FE3D89" w:rsidRPr="00CE39B4" w:rsidRDefault="00FE3D89" w:rsidP="00215497">
          <w:pPr>
            <w:pStyle w:val="Header"/>
            <w:spacing w:line="240" w:lineRule="auto"/>
            <w:rPr>
              <w:sz w:val="22"/>
            </w:rPr>
          </w:pPr>
          <w:r>
            <w:rPr>
              <w:sz w:val="20"/>
            </w:rPr>
            <w:t xml:space="preserve">Pagamento de Serviços - </w:t>
          </w:r>
          <w:r w:rsidRPr="005F082D">
            <w:rPr>
              <w:sz w:val="20"/>
            </w:rPr>
            <w:t>Formulário de Adesão</w:t>
          </w:r>
        </w:p>
      </w:tc>
    </w:tr>
  </w:tbl>
  <w:p w:rsidR="00FE3D89" w:rsidRDefault="00FE3D89" w:rsidP="0005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42F3D"/>
    <w:multiLevelType w:val="hybridMultilevel"/>
    <w:tmpl w:val="FC5E3D50"/>
    <w:lvl w:ilvl="0" w:tplc="06BEE64C">
      <w:start w:val="1"/>
      <w:numFmt w:val="decimal"/>
      <w:lvlText w:val="3.%1"/>
      <w:lvlJc w:val="left"/>
      <w:pPr>
        <w:ind w:left="360" w:hanging="360"/>
      </w:pPr>
      <w:rPr>
        <w:rFonts w:hint="default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C82CEB"/>
    <w:multiLevelType w:val="hybridMultilevel"/>
    <w:tmpl w:val="C494F8D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5D5E2BA2"/>
    <w:multiLevelType w:val="hybridMultilevel"/>
    <w:tmpl w:val="C6926078"/>
    <w:lvl w:ilvl="0" w:tplc="557AA882">
      <w:start w:val="1"/>
      <w:numFmt w:val="decimal"/>
      <w:lvlText w:val="3.%1"/>
      <w:lvlJc w:val="left"/>
      <w:pPr>
        <w:ind w:left="2747" w:hanging="340"/>
      </w:pPr>
      <w:rPr>
        <w:rFonts w:hint="default"/>
        <w:b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4" w15:restartNumberingAfterBreak="0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 w15:restartNumberingAfterBreak="0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0" w15:restartNumberingAfterBreak="0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3" w15:restartNumberingAfterBreak="0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1"/>
  </w:num>
  <w:num w:numId="5">
    <w:abstractNumId w:val="23"/>
  </w:num>
  <w:num w:numId="6">
    <w:abstractNumId w:val="30"/>
  </w:num>
  <w:num w:numId="7">
    <w:abstractNumId w:val="24"/>
  </w:num>
  <w:num w:numId="8">
    <w:abstractNumId w:val="29"/>
  </w:num>
  <w:num w:numId="9">
    <w:abstractNumId w:val="32"/>
  </w:num>
  <w:num w:numId="10">
    <w:abstractNumId w:val="26"/>
  </w:num>
  <w:num w:numId="11">
    <w:abstractNumId w:val="17"/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6"/>
  </w:num>
  <w:num w:numId="19">
    <w:abstractNumId w:val="33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20"/>
  </w:num>
  <w:num w:numId="29">
    <w:abstractNumId w:val="31"/>
  </w:num>
  <w:num w:numId="30">
    <w:abstractNumId w:val="0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RDowzsDQ/QdGektByZEDTwvqcXVD6W9VLkpGlDsb8EH6mpM0ReT2H7YdIHzp82UJ7neaG99/oO3cqXVI20jA==" w:salt="QAYWEfuoGT9b8hXvokxAKw=="/>
  <w:defaultTabStop w:val="1701"/>
  <w:hyphenationZone w:val="425"/>
  <w:characterSpacingControl w:val="doNotCompress"/>
  <w:hdrShapeDefaults>
    <o:shapedefaults v:ext="edit" spidmax="10241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4368E"/>
    <w:rsid w:val="000517FE"/>
    <w:rsid w:val="0005304A"/>
    <w:rsid w:val="00054F27"/>
    <w:rsid w:val="00062C84"/>
    <w:rsid w:val="00064299"/>
    <w:rsid w:val="00065303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D6566"/>
    <w:rsid w:val="000E0E22"/>
    <w:rsid w:val="000E5E18"/>
    <w:rsid w:val="000E6634"/>
    <w:rsid w:val="000E7675"/>
    <w:rsid w:val="000F0A59"/>
    <w:rsid w:val="000F2613"/>
    <w:rsid w:val="000F359E"/>
    <w:rsid w:val="00100E2E"/>
    <w:rsid w:val="00104551"/>
    <w:rsid w:val="0011019D"/>
    <w:rsid w:val="0011500A"/>
    <w:rsid w:val="001156DB"/>
    <w:rsid w:val="0011757E"/>
    <w:rsid w:val="0012149D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3A13"/>
    <w:rsid w:val="0014612B"/>
    <w:rsid w:val="00146524"/>
    <w:rsid w:val="001524F7"/>
    <w:rsid w:val="001612B5"/>
    <w:rsid w:val="00165769"/>
    <w:rsid w:val="001675E1"/>
    <w:rsid w:val="00167EF8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28EC"/>
    <w:rsid w:val="001D64AA"/>
    <w:rsid w:val="001D7BE6"/>
    <w:rsid w:val="001E024C"/>
    <w:rsid w:val="001E14B8"/>
    <w:rsid w:val="001E2CF8"/>
    <w:rsid w:val="001E7EB6"/>
    <w:rsid w:val="00200937"/>
    <w:rsid w:val="0020662F"/>
    <w:rsid w:val="00207814"/>
    <w:rsid w:val="00210955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28D9"/>
    <w:rsid w:val="002A6C6B"/>
    <w:rsid w:val="002A6F00"/>
    <w:rsid w:val="002A6FB3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3E87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652A3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280D"/>
    <w:rsid w:val="004647DB"/>
    <w:rsid w:val="00471ED2"/>
    <w:rsid w:val="00476D0F"/>
    <w:rsid w:val="00476DE4"/>
    <w:rsid w:val="004803B6"/>
    <w:rsid w:val="0048414E"/>
    <w:rsid w:val="0048442F"/>
    <w:rsid w:val="00484AA0"/>
    <w:rsid w:val="004865C5"/>
    <w:rsid w:val="00492FB1"/>
    <w:rsid w:val="0049421D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AA1"/>
    <w:rsid w:val="004F1B05"/>
    <w:rsid w:val="004F45C1"/>
    <w:rsid w:val="00504735"/>
    <w:rsid w:val="005051B6"/>
    <w:rsid w:val="00511117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4809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3879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3AC7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3E50"/>
    <w:rsid w:val="006652D8"/>
    <w:rsid w:val="00666863"/>
    <w:rsid w:val="006728D6"/>
    <w:rsid w:val="00674A6A"/>
    <w:rsid w:val="0068096E"/>
    <w:rsid w:val="00681C9D"/>
    <w:rsid w:val="00683C3F"/>
    <w:rsid w:val="00690308"/>
    <w:rsid w:val="00690320"/>
    <w:rsid w:val="006973EB"/>
    <w:rsid w:val="006A06CF"/>
    <w:rsid w:val="006A1627"/>
    <w:rsid w:val="006A257A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563B"/>
    <w:rsid w:val="00726060"/>
    <w:rsid w:val="007325CC"/>
    <w:rsid w:val="00734656"/>
    <w:rsid w:val="007368DA"/>
    <w:rsid w:val="00742A76"/>
    <w:rsid w:val="00744676"/>
    <w:rsid w:val="007469E4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23B"/>
    <w:rsid w:val="007C0AAD"/>
    <w:rsid w:val="007C0B67"/>
    <w:rsid w:val="007C1922"/>
    <w:rsid w:val="007E0CF4"/>
    <w:rsid w:val="007E2503"/>
    <w:rsid w:val="007E3862"/>
    <w:rsid w:val="007F0144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0B0D"/>
    <w:rsid w:val="0082104F"/>
    <w:rsid w:val="0082421C"/>
    <w:rsid w:val="00826133"/>
    <w:rsid w:val="00826291"/>
    <w:rsid w:val="00826FBF"/>
    <w:rsid w:val="0082733E"/>
    <w:rsid w:val="00840E87"/>
    <w:rsid w:val="00841C87"/>
    <w:rsid w:val="00843AB4"/>
    <w:rsid w:val="00847B73"/>
    <w:rsid w:val="0085189F"/>
    <w:rsid w:val="008533E6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47DC"/>
    <w:rsid w:val="008C7096"/>
    <w:rsid w:val="008C73EF"/>
    <w:rsid w:val="008D179A"/>
    <w:rsid w:val="008E206B"/>
    <w:rsid w:val="008E246C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5BDF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A1879"/>
    <w:rsid w:val="009A3B14"/>
    <w:rsid w:val="009A6234"/>
    <w:rsid w:val="009A783E"/>
    <w:rsid w:val="009B060D"/>
    <w:rsid w:val="009C2DAC"/>
    <w:rsid w:val="009C6100"/>
    <w:rsid w:val="009C67AD"/>
    <w:rsid w:val="009C7EC1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B38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5489D"/>
    <w:rsid w:val="00A82F1E"/>
    <w:rsid w:val="00A86D83"/>
    <w:rsid w:val="00A904BD"/>
    <w:rsid w:val="00A9227D"/>
    <w:rsid w:val="00A93A38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16AFE"/>
    <w:rsid w:val="00B20AE3"/>
    <w:rsid w:val="00B22C4D"/>
    <w:rsid w:val="00B24BC6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B3D91"/>
    <w:rsid w:val="00BC09AE"/>
    <w:rsid w:val="00BC2E43"/>
    <w:rsid w:val="00BC2FC1"/>
    <w:rsid w:val="00BC41D8"/>
    <w:rsid w:val="00BC5BA6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20AB"/>
    <w:rsid w:val="00C244C2"/>
    <w:rsid w:val="00C30B3B"/>
    <w:rsid w:val="00C348FD"/>
    <w:rsid w:val="00C361AC"/>
    <w:rsid w:val="00C36FE3"/>
    <w:rsid w:val="00C46547"/>
    <w:rsid w:val="00C4752C"/>
    <w:rsid w:val="00C517FE"/>
    <w:rsid w:val="00C51884"/>
    <w:rsid w:val="00C527DD"/>
    <w:rsid w:val="00C5789E"/>
    <w:rsid w:val="00C621F7"/>
    <w:rsid w:val="00C62548"/>
    <w:rsid w:val="00C62D5E"/>
    <w:rsid w:val="00C62E17"/>
    <w:rsid w:val="00C650D7"/>
    <w:rsid w:val="00C66894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5186"/>
    <w:rsid w:val="00CC6693"/>
    <w:rsid w:val="00CD238C"/>
    <w:rsid w:val="00CD31DB"/>
    <w:rsid w:val="00CD3472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312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638B3"/>
    <w:rsid w:val="00D706DA"/>
    <w:rsid w:val="00D757A4"/>
    <w:rsid w:val="00D758CC"/>
    <w:rsid w:val="00D767A5"/>
    <w:rsid w:val="00D8080F"/>
    <w:rsid w:val="00D8455A"/>
    <w:rsid w:val="00D8698F"/>
    <w:rsid w:val="00D86D42"/>
    <w:rsid w:val="00D91A73"/>
    <w:rsid w:val="00D91CCF"/>
    <w:rsid w:val="00D92046"/>
    <w:rsid w:val="00D9233D"/>
    <w:rsid w:val="00D946AE"/>
    <w:rsid w:val="00D956E8"/>
    <w:rsid w:val="00DA0ECF"/>
    <w:rsid w:val="00DA1BB9"/>
    <w:rsid w:val="00DA1D68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1546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29B9"/>
    <w:rsid w:val="00E936EC"/>
    <w:rsid w:val="00E942D8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3D89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#ff9">
      <v:fill color="#ff9"/>
    </o:shapedefaults>
    <o:shapelayout v:ext="edit">
      <o:idmap v:ext="edit" data="1"/>
    </o:shapelayout>
  </w:shapeDefaults>
  <w:decimalSymbol w:val=","/>
  <w:listSeparator w:val=";"/>
  <w14:docId w14:val="6B93152D"/>
  <w15:docId w15:val="{5A9DE224-FB9D-4EEE-856D-281BE08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22" ma:contentTypeDescription="" ma:contentTypeScope="" ma:versionID="72465bcbcffd0025f8722eae55669315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42fa5cdbf6f4c55329e0248dee48c1ff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6-0010 - Mobile POS"/>
          <xsd:enumeration value="PJ-2017-0001 - SEPA 2017"/>
          <xsd:enumeration value="PJ-2017-0002 - Instant Payments Solution (implementação)"/>
          <xsd:enumeration value="PJ-2017-0004 - Upgrade da infraestrutura criptografica MB Code e ACS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02.51</Versão_x002f_Release_x0020_Base>
    <Datadaversão xmlns="ec7585e6-3103-4280-b8cd-6171a5a1a4ae">2017-05-22T12:49:56+00:00</Datadaversão>
    <Serviço xmlns="157cb174-1177-442b-b3a7-4b43dc3305f1">N/A</Serviço>
    <Língua xmlns="157cb174-1177-442b-b3a7-4b43dc3305f1">PT</Língua>
    <VersãoDoc xmlns="ec7585e6-3103-4280-b8cd-6171a5a1a4ae">02.60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2017-05-22T12:50:04+00:00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2017-05-22T12:49:55+00:00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1395518718624022518125120687135186173203136212</SelodeControlo>
    <ModifiedDate xmlns="3ba42115-c4bb-408a-bff7-24552b28602f">2017-05-22T12:49:54+00:00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EBFD3-DB09-4230-BE01-283DF11F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a209ebf-b523-40df-af06-be8204863692"/>
    <ds:schemaRef ds:uri="http://schemas.microsoft.com/sharepoint/v3/fields"/>
    <ds:schemaRef ds:uri="http://schemas.microsoft.com/office/2006/metadata/properties"/>
    <ds:schemaRef ds:uri="3ba42115-c4bb-408a-bff7-24552b28602f"/>
    <ds:schemaRef ds:uri="157cb174-1177-442b-b3a7-4b43dc3305f1"/>
    <ds:schemaRef ds:uri="ec7585e6-3103-4280-b8cd-6171a5a1a4a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9DF40D6-D251-4C58-A9D2-285F2D20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2546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16268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Sofia Oliveira</cp:lastModifiedBy>
  <cp:revision>10</cp:revision>
  <cp:lastPrinted>2016-02-22T12:20:00Z</cp:lastPrinted>
  <dcterms:created xsi:type="dcterms:W3CDTF">2018-05-14T12:19:00Z</dcterms:created>
  <dcterms:modified xsi:type="dcterms:W3CDTF">2019-05-14T09:12:00Z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