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A355A3" w14:textId="77777777" w:rsidR="009F715F" w:rsidRPr="009F715F" w:rsidRDefault="009F715F" w:rsidP="0009049F">
      <w:pPr>
        <w:jc w:val="both"/>
        <w:rPr>
          <w:b/>
          <w:bCs/>
        </w:rPr>
      </w:pPr>
      <w:r w:rsidRPr="009F715F">
        <w:rPr>
          <w:b/>
          <w:bCs/>
        </w:rPr>
        <w:t xml:space="preserve">Proyecto de </w:t>
      </w:r>
      <w:proofErr w:type="spellStart"/>
      <w:r w:rsidRPr="009F715F">
        <w:rPr>
          <w:b/>
          <w:bCs/>
        </w:rPr>
        <w:t>Anonimización</w:t>
      </w:r>
      <w:proofErr w:type="spellEnd"/>
      <w:r w:rsidRPr="009F715F">
        <w:rPr>
          <w:b/>
          <w:bCs/>
        </w:rPr>
        <w:t xml:space="preserve"> de Documentos Clínicos – Solicitud de Aprobación Ética (</w:t>
      </w:r>
      <w:proofErr w:type="spellStart"/>
      <w:r w:rsidRPr="009F715F">
        <w:rPr>
          <w:b/>
          <w:bCs/>
        </w:rPr>
        <w:t>CEIm</w:t>
      </w:r>
      <w:proofErr w:type="spellEnd"/>
      <w:r w:rsidRPr="009F715F">
        <w:rPr>
          <w:b/>
          <w:bCs/>
        </w:rPr>
        <w:t>)</w:t>
      </w:r>
    </w:p>
    <w:p w14:paraId="07190105" w14:textId="77777777" w:rsidR="009F715F" w:rsidRPr="009F715F" w:rsidRDefault="009F715F" w:rsidP="0009049F">
      <w:pPr>
        <w:jc w:val="both"/>
        <w:rPr>
          <w:b/>
          <w:bCs/>
        </w:rPr>
      </w:pPr>
      <w:r w:rsidRPr="009F715F">
        <w:rPr>
          <w:b/>
          <w:bCs/>
        </w:rPr>
        <w:t>Introducción</w:t>
      </w:r>
    </w:p>
    <w:p w14:paraId="6548D622" w14:textId="77777777" w:rsidR="009F715F" w:rsidRPr="009F715F" w:rsidRDefault="009F715F" w:rsidP="0009049F">
      <w:pPr>
        <w:jc w:val="both"/>
      </w:pPr>
      <w:r w:rsidRPr="009F715F">
        <w:t xml:space="preserve">El presente documento propone la implementación de una herramienta informática para la </w:t>
      </w:r>
      <w:proofErr w:type="spellStart"/>
      <w:r w:rsidRPr="009F715F">
        <w:t>anonimización</w:t>
      </w:r>
      <w:proofErr w:type="spellEnd"/>
      <w:r w:rsidRPr="009F715F">
        <w:t xml:space="preserve"> de documentos clínicos en el Hospital Universitario La Paz. Existe un creciente interés en explotar la información contenida en las historias clínicas electrónicas mediante técnicas de procesamiento del lenguaje natural (PLN) para fines de investigación y mejora de la atención sanitaria. Sin embargo, los registros clínicos contienen información de salud protegida (PHI, </w:t>
      </w:r>
      <w:proofErr w:type="spellStart"/>
      <w:r w:rsidRPr="009F715F">
        <w:rPr>
          <w:i/>
          <w:iCs/>
        </w:rPr>
        <w:t>Protected</w:t>
      </w:r>
      <w:proofErr w:type="spellEnd"/>
      <w:r w:rsidRPr="009F715F">
        <w:rPr>
          <w:i/>
          <w:iCs/>
        </w:rPr>
        <w:t xml:space="preserve"> </w:t>
      </w:r>
      <w:proofErr w:type="spellStart"/>
      <w:r w:rsidRPr="009F715F">
        <w:rPr>
          <w:i/>
          <w:iCs/>
        </w:rPr>
        <w:t>Health</w:t>
      </w:r>
      <w:proofErr w:type="spellEnd"/>
      <w:r w:rsidRPr="009F715F">
        <w:rPr>
          <w:i/>
          <w:iCs/>
        </w:rPr>
        <w:t xml:space="preserve"> </w:t>
      </w:r>
      <w:proofErr w:type="spellStart"/>
      <w:r w:rsidRPr="009F715F">
        <w:rPr>
          <w:i/>
          <w:iCs/>
        </w:rPr>
        <w:t>Information</w:t>
      </w:r>
      <w:proofErr w:type="spellEnd"/>
      <w:r w:rsidRPr="009F715F">
        <w:t xml:space="preserve">), como datos personales identificativos, cuya difusión está estrictamente limitada por las normativas de privacidad (RGPD y Ley Orgánica 3/2018, entre otras). Por tanto, no es posible compartir ni utilizar registros clínicos “tal cual” fuera del entorno asistencial sin </w:t>
      </w:r>
      <w:proofErr w:type="spellStart"/>
      <w:r w:rsidRPr="009F715F">
        <w:t>desidentificarlos</w:t>
      </w:r>
      <w:proofErr w:type="spellEnd"/>
      <w:r w:rsidRPr="009F715F">
        <w:t xml:space="preserve"> previamente</w:t>
      </w:r>
      <w:hyperlink r:id="rId5" w:anchor=":~:text=legal%20conditions%20and%20address%20restrictions,This%20paper%20summa%02rizes%20the" w:tgtFrame="_blank" w:history="1">
        <w:r w:rsidRPr="009F715F">
          <w:rPr>
            <w:rStyle w:val="Hipervnculo"/>
          </w:rPr>
          <w:t>ceur-ws.org</w:t>
        </w:r>
      </w:hyperlink>
      <w:r w:rsidRPr="009F715F">
        <w:t>. La desidentificación exhaustiva (</w:t>
      </w:r>
      <w:proofErr w:type="spellStart"/>
      <w:r w:rsidRPr="009F715F">
        <w:t>anonimización</w:t>
      </w:r>
      <w:proofErr w:type="spellEnd"/>
      <w:r w:rsidRPr="009F715F">
        <w:t xml:space="preserve">) implica la eliminación o reemplazo de todos los datos personales contenidos en el texto clínico, de forma que el paciente no pueda ser </w:t>
      </w:r>
      <w:proofErr w:type="spellStart"/>
      <w:r w:rsidRPr="009F715F">
        <w:t>reidentificado</w:t>
      </w:r>
      <w:proofErr w:type="spellEnd"/>
      <w:r w:rsidRPr="009F715F">
        <w:t xml:space="preserve">. Diversos estudios resaltan que disponer de herramientas automáticas de </w:t>
      </w:r>
      <w:proofErr w:type="spellStart"/>
      <w:r w:rsidRPr="009F715F">
        <w:t>anonimización</w:t>
      </w:r>
      <w:proofErr w:type="spellEnd"/>
      <w:r w:rsidRPr="009F715F">
        <w:t xml:space="preserve"> validadas es clave para obtener la aprobación de los comités éticos en la reutilización de datos clínicos con fines de investigación</w:t>
      </w:r>
      <w:hyperlink r:id="rId6" w:anchor=":~:text=A%20necessary%20precondition%20for%20accessing,Medical%20Docu%02ment%20Anonymization" w:tgtFrame="_blank" w:history="1">
        <w:r w:rsidRPr="009F715F">
          <w:rPr>
            <w:rStyle w:val="Hipervnculo"/>
          </w:rPr>
          <w:t>ceur-ws.org</w:t>
        </w:r>
      </w:hyperlink>
      <w:r w:rsidRPr="009F715F">
        <w:t>. En otras palabras, contar con un método automatizado confiable para anonimizar textos clínicos es un prerrequisito fundamental para poder compartir y analizar dicha información de manera segura y ética.</w:t>
      </w:r>
    </w:p>
    <w:p w14:paraId="364BD4D5" w14:textId="77777777" w:rsidR="009F715F" w:rsidRPr="009F715F" w:rsidRDefault="009F715F" w:rsidP="0009049F">
      <w:pPr>
        <w:jc w:val="both"/>
      </w:pPr>
      <w:r w:rsidRPr="009F715F">
        <w:t xml:space="preserve">En el ámbito de habla hispana, los esfuerzos en </w:t>
      </w:r>
      <w:proofErr w:type="spellStart"/>
      <w:r w:rsidRPr="009F715F">
        <w:t>anonimización</w:t>
      </w:r>
      <w:proofErr w:type="spellEnd"/>
      <w:r w:rsidRPr="009F715F">
        <w:t xml:space="preserve"> automática de textos médicos han sido limitados hasta fechas recientes</w:t>
      </w:r>
      <w:hyperlink r:id="rId7" w:anchor=":~:text=,identification%20strategies%20%5B10%2C%2014" w:tgtFrame="_blank" w:history="1">
        <w:r w:rsidRPr="009F715F">
          <w:rPr>
            <w:rStyle w:val="Hipervnculo"/>
          </w:rPr>
          <w:t>ceur-ws.org</w:t>
        </w:r>
      </w:hyperlink>
      <w:r w:rsidRPr="009F715F">
        <w:t xml:space="preserve">. No obstante, en 2019 se organizó por primera vez un desafío a nivel comunitario específicamente orientado a la </w:t>
      </w:r>
      <w:proofErr w:type="spellStart"/>
      <w:r w:rsidRPr="009F715F">
        <w:t>anonimización</w:t>
      </w:r>
      <w:proofErr w:type="spellEnd"/>
      <w:r w:rsidRPr="009F715F">
        <w:t xml:space="preserve"> de documentos clínicos en español, denominado MEDDOCAN (Medical </w:t>
      </w:r>
      <w:proofErr w:type="spellStart"/>
      <w:r w:rsidRPr="009F715F">
        <w:t>Document</w:t>
      </w:r>
      <w:proofErr w:type="spellEnd"/>
      <w:r w:rsidRPr="009F715F">
        <w:t xml:space="preserve"> </w:t>
      </w:r>
      <w:proofErr w:type="spellStart"/>
      <w:r w:rsidRPr="009F715F">
        <w:t>Anonymization</w:t>
      </w:r>
      <w:proofErr w:type="spellEnd"/>
      <w:r w:rsidRPr="009F715F">
        <w:t>)</w:t>
      </w:r>
      <w:hyperlink r:id="rId8" w:anchor=":~:text=25%2C%206,challenge%20track%20specifically%20devoted%20to" w:tgtFrame="_blank" w:history="1">
        <w:r w:rsidRPr="009F715F">
          <w:rPr>
            <w:rStyle w:val="Hipervnculo"/>
          </w:rPr>
          <w:t>ceur-ws.org</w:t>
        </w:r>
      </w:hyperlink>
      <w:r w:rsidRPr="009F715F">
        <w:t xml:space="preserve">. Este desafío, parte de la iniciativa </w:t>
      </w:r>
      <w:proofErr w:type="spellStart"/>
      <w:r w:rsidRPr="009F715F">
        <w:t>IberLEF</w:t>
      </w:r>
      <w:proofErr w:type="spellEnd"/>
      <w:r w:rsidRPr="009F715F">
        <w:t xml:space="preserve"> 2019, proporcionó un corpus estandarizado y unas guías de anotación de PHI en español basadas en el análisis del Reglamento General de Protección de Datos (RGPD) de la UE</w:t>
      </w:r>
      <w:hyperlink r:id="rId9" w:anchor=":~:text=synthetic%20corpus%20of%20clinical%20case,access%20hurdle%20for%20Spanish%20lan%02guage" w:tgtFrame="_blank" w:history="1">
        <w:r w:rsidRPr="009F715F">
          <w:rPr>
            <w:rStyle w:val="Hipervnculo"/>
          </w:rPr>
          <w:t>ceur-ws.org</w:t>
        </w:r>
      </w:hyperlink>
      <w:r w:rsidRPr="009F715F">
        <w:t xml:space="preserve">. La existencia de dicho corpus y resultados asociados nos ha permitido desarrollar y validar una herramienta de </w:t>
      </w:r>
      <w:proofErr w:type="spellStart"/>
      <w:r w:rsidRPr="009F715F">
        <w:t>anonimización</w:t>
      </w:r>
      <w:proofErr w:type="spellEnd"/>
      <w:r w:rsidRPr="009F715F">
        <w:t xml:space="preserve"> con rigor científico, cuyos detalles se describen a continuación. La finalidad última de este proyecto es facilitar el uso secundario de datos clínicos retrospectivos para investigación, garantizando en todo momento la privacidad de los pacientes de acuerdo con la normativa vigente.</w:t>
      </w:r>
    </w:p>
    <w:p w14:paraId="1630BA3C" w14:textId="77777777" w:rsidR="009F715F" w:rsidRPr="009F715F" w:rsidRDefault="009F715F" w:rsidP="0009049F">
      <w:pPr>
        <w:jc w:val="both"/>
        <w:rPr>
          <w:b/>
          <w:bCs/>
        </w:rPr>
      </w:pPr>
      <w:r w:rsidRPr="009F715F">
        <w:rPr>
          <w:b/>
          <w:bCs/>
        </w:rPr>
        <w:t>Objetivos del Proyecto</w:t>
      </w:r>
    </w:p>
    <w:p w14:paraId="666554E1" w14:textId="77777777" w:rsidR="009F715F" w:rsidRPr="009F715F" w:rsidRDefault="009F715F" w:rsidP="0009049F">
      <w:pPr>
        <w:numPr>
          <w:ilvl w:val="0"/>
          <w:numId w:val="1"/>
        </w:numPr>
        <w:jc w:val="both"/>
      </w:pPr>
      <w:proofErr w:type="spellStart"/>
      <w:r w:rsidRPr="009F715F">
        <w:t>Anonimización</w:t>
      </w:r>
      <w:proofErr w:type="spellEnd"/>
      <w:r w:rsidRPr="009F715F">
        <w:t xml:space="preserve"> Automática de PHI: Implementar una solución basada en inteligencia artificial (procesamiento de lenguaje natural) capaz de identificar y ocultar automáticamente la información sensible de los documentos clínicos (p. ej., nombres de pacientes, números de historia, fechas, direcciones, etc.).</w:t>
      </w:r>
    </w:p>
    <w:p w14:paraId="587627B5" w14:textId="77777777" w:rsidR="009F715F" w:rsidRPr="009F715F" w:rsidRDefault="009F715F" w:rsidP="0009049F">
      <w:pPr>
        <w:numPr>
          <w:ilvl w:val="0"/>
          <w:numId w:val="1"/>
        </w:numPr>
        <w:jc w:val="both"/>
      </w:pPr>
      <w:r w:rsidRPr="009F715F">
        <w:t>Validación y Seguridad: Garantizar mediante una evaluación exhaustiva que la herramienta alcanza un nivel alto de desempeño en la detección de datos identificativos, minimizando el riesgo de exposición de PHI residual.</w:t>
      </w:r>
    </w:p>
    <w:p w14:paraId="47DE4124" w14:textId="77777777" w:rsidR="009F715F" w:rsidRPr="009F715F" w:rsidRDefault="009F715F" w:rsidP="0009049F">
      <w:pPr>
        <w:numPr>
          <w:ilvl w:val="0"/>
          <w:numId w:val="1"/>
        </w:numPr>
        <w:jc w:val="both"/>
      </w:pPr>
      <w:r w:rsidRPr="009F715F">
        <w:t xml:space="preserve">Uso en Investigación Retrospectiva: Una vez validada, obtener la aprobación ética para su uso generalizado sobre datos clínicos retrospectivos del hospital, con el fin de generar conjuntos de datos anonimizados que puedan ser analizados por los investigadores sin comprometer la privacidad. Es importante destacar que no </w:t>
      </w:r>
      <w:r w:rsidRPr="009F715F">
        <w:lastRenderedPageBreak/>
        <w:t>habrá intervención clínica ni contacto con pacientes, dado que el proyecto se limita al tratamiento de datos previamente recogidos en la historia clínica, bajo un estricto protocolo de confidencialidad.</w:t>
      </w:r>
    </w:p>
    <w:p w14:paraId="3475DB9E" w14:textId="77777777" w:rsidR="009F715F" w:rsidRPr="009F715F" w:rsidRDefault="009F715F" w:rsidP="0009049F">
      <w:pPr>
        <w:jc w:val="both"/>
        <w:rPr>
          <w:b/>
          <w:bCs/>
        </w:rPr>
      </w:pPr>
      <w:r w:rsidRPr="009F715F">
        <w:rPr>
          <w:b/>
          <w:bCs/>
        </w:rPr>
        <w:t xml:space="preserve">Descripción de la Herramienta de </w:t>
      </w:r>
      <w:proofErr w:type="spellStart"/>
      <w:r w:rsidRPr="009F715F">
        <w:rPr>
          <w:b/>
          <w:bCs/>
        </w:rPr>
        <w:t>Anonimización</w:t>
      </w:r>
      <w:proofErr w:type="spellEnd"/>
    </w:p>
    <w:p w14:paraId="28771890" w14:textId="77777777" w:rsidR="009F715F" w:rsidRPr="009F715F" w:rsidRDefault="009F715F" w:rsidP="0009049F">
      <w:pPr>
        <w:jc w:val="both"/>
      </w:pPr>
      <w:r w:rsidRPr="009F715F">
        <w:t xml:space="preserve">La solución propuesta consiste en un modelo de reconocimiento de entidades nombradas (NER) entrenado específicamente para detectar expresiones de PHI en textos médicos en español. El modelo ha sido desarrollado utilizando la biblioteca </w:t>
      </w:r>
      <w:proofErr w:type="spellStart"/>
      <w:r w:rsidRPr="009F715F">
        <w:t>spaCy</w:t>
      </w:r>
      <w:proofErr w:type="spellEnd"/>
      <w:r w:rsidRPr="009F715F">
        <w:t xml:space="preserve"> (v3.8.7)</w:t>
      </w:r>
      <w:hyperlink r:id="rId10" w:anchor=":~:text=M,1212303" w:tgtFrame="_blank" w:history="1">
        <w:r w:rsidRPr="009F715F">
          <w:rPr>
            <w:rStyle w:val="Hipervnculo"/>
          </w:rPr>
          <w:t>bibsonomy.org</w:t>
        </w:r>
      </w:hyperlink>
      <w:r w:rsidRPr="009F715F">
        <w:t>, reconocida por su eficacia en tareas de PLN a nivel industrial. El algoritmo subyacente emplea redes neuronales profundas para identificar menciones de datos sensibles dentro del texto (por ejemplo, nombres propios, números de teléfono, direcciones, identificadores médicos, fechas, ubicaciones, etc.). Estas categorías de entidades sensibles se definieron siguiendo las guías de anotación de MEDDOCAN, las cuales se basan en las disposiciones del RGPD de la UE y en tipos de datos protegidos habituales según HIPAA (</w:t>
      </w:r>
      <w:proofErr w:type="spellStart"/>
      <w:r w:rsidRPr="009F715F">
        <w:t>Health</w:t>
      </w:r>
      <w:proofErr w:type="spellEnd"/>
      <w:r w:rsidRPr="009F715F">
        <w:t xml:space="preserve"> </w:t>
      </w:r>
      <w:proofErr w:type="spellStart"/>
      <w:r w:rsidRPr="009F715F">
        <w:t>Insurance</w:t>
      </w:r>
      <w:proofErr w:type="spellEnd"/>
      <w:r w:rsidRPr="009F715F">
        <w:t xml:space="preserve"> </w:t>
      </w:r>
      <w:proofErr w:type="spellStart"/>
      <w:r w:rsidRPr="009F715F">
        <w:t>Portability</w:t>
      </w:r>
      <w:proofErr w:type="spellEnd"/>
      <w:r w:rsidRPr="009F715F">
        <w:t xml:space="preserve"> and </w:t>
      </w:r>
      <w:proofErr w:type="spellStart"/>
      <w:r w:rsidRPr="009F715F">
        <w:t>Accountability</w:t>
      </w:r>
      <w:proofErr w:type="spellEnd"/>
      <w:r w:rsidRPr="009F715F">
        <w:t xml:space="preserve"> </w:t>
      </w:r>
      <w:proofErr w:type="spellStart"/>
      <w:r w:rsidRPr="009F715F">
        <w:t>Act</w:t>
      </w:r>
      <w:proofErr w:type="spellEnd"/>
      <w:r w:rsidRPr="009F715F">
        <w:t>)</w:t>
      </w:r>
      <w:hyperlink r:id="rId11" w:anchor=":~:text=To%20carry%20out%20the%20manual,been%20distributed%20along%20with%20the" w:tgtFrame="_blank" w:history="1">
        <w:r w:rsidRPr="009F715F">
          <w:rPr>
            <w:rStyle w:val="Hipervnculo"/>
          </w:rPr>
          <w:t>ceur-ws.org</w:t>
        </w:r>
      </w:hyperlink>
      <w:r w:rsidRPr="009F715F">
        <w:t>. En total, el sistema abarca 29 tipos de entidades sensibles (PHI) que incluyen información demográfica, identificadores personales, información de contacto, instituciones sanitarias, fechas y otros elementos que podrían identificar indirectamente a un paciente</w:t>
      </w:r>
      <w:hyperlink r:id="rId12" w:anchor=":~:text=To%20carry%20out%20the%20manual,been%20distributed%20along%20with%20the" w:tgtFrame="_blank" w:history="1">
        <w:r w:rsidRPr="009F715F">
          <w:rPr>
            <w:rStyle w:val="Hipervnculo"/>
          </w:rPr>
          <w:t>ceur-ws.org</w:t>
        </w:r>
      </w:hyperlink>
      <w:r w:rsidRPr="009F715F">
        <w:t>.</w:t>
      </w:r>
    </w:p>
    <w:p w14:paraId="7BF60FD2" w14:textId="77777777" w:rsidR="009F715F" w:rsidRPr="009F715F" w:rsidRDefault="009F715F" w:rsidP="0009049F">
      <w:pPr>
        <w:jc w:val="both"/>
      </w:pPr>
      <w:r w:rsidRPr="009F715F">
        <w:t>Una vez que el modelo NER detecta una entidad sensible en el documento clínico, esta puede ser enmascarada o eliminada. Por ejemplo, un nombre de paciente puede sustituirse por una etiqueta genérica ("[NOMBRE]") o eliminarse del texto, según la configuración deseada. El resultado final es un documento anonimizado en el que se ha retirado toda información identificativa personal, conservando el resto del contenido clínico para su análisis.</w:t>
      </w:r>
    </w:p>
    <w:p w14:paraId="29C9DE61" w14:textId="77777777" w:rsidR="009F715F" w:rsidRPr="009F715F" w:rsidRDefault="009F715F" w:rsidP="0009049F">
      <w:pPr>
        <w:jc w:val="both"/>
      </w:pPr>
      <w:r w:rsidRPr="009F715F">
        <w:t xml:space="preserve">Es importante señalar que la herramienta funciona de forma automatizada y sistemática: puede procesar grandes volúmenes de texto clínico de manera rápida, aplicando consistentemente los mismos criterios de </w:t>
      </w:r>
      <w:proofErr w:type="spellStart"/>
      <w:r w:rsidRPr="009F715F">
        <w:t>anonimización</w:t>
      </w:r>
      <w:proofErr w:type="spellEnd"/>
      <w:r w:rsidRPr="009F715F">
        <w:t xml:space="preserve"> en todos los documentos. Esto reduce la carga de trabajo manual y el posible error humano inherente a la </w:t>
      </w:r>
      <w:proofErr w:type="spellStart"/>
      <w:r w:rsidRPr="009F715F">
        <w:t>anonimización</w:t>
      </w:r>
      <w:proofErr w:type="spellEnd"/>
      <w:r w:rsidRPr="009F715F">
        <w:t xml:space="preserve"> manual, a la vez que mejora la reproducibilidad del proceso. La implantación está prevista en los sistemas informáticos hospitalarios de manera local (intranet), asegurando que los datos clínicos no salen en ningún momento del entorno seguro del hospital. El modelo </w:t>
      </w:r>
      <w:proofErr w:type="spellStart"/>
      <w:r w:rsidRPr="009F715F">
        <w:t>spaCy</w:t>
      </w:r>
      <w:proofErr w:type="spellEnd"/>
      <w:r w:rsidRPr="009F715F">
        <w:t xml:space="preserve"> entrenado lleva un identificador de versión único (hash: 4b65aa7), lo que garantiza que podemos rastrear la configuración exacta del modelo utilizado y reproducir los resultados en caso necesario.</w:t>
      </w:r>
    </w:p>
    <w:p w14:paraId="40650914" w14:textId="77777777" w:rsidR="009F715F" w:rsidRPr="009F715F" w:rsidRDefault="009F715F" w:rsidP="0009049F">
      <w:pPr>
        <w:jc w:val="both"/>
        <w:rPr>
          <w:b/>
          <w:bCs/>
        </w:rPr>
      </w:pPr>
      <w:r w:rsidRPr="009F715F">
        <w:rPr>
          <w:b/>
          <w:bCs/>
        </w:rPr>
        <w:t>Datos de Entrenamiento y Validación</w:t>
      </w:r>
    </w:p>
    <w:p w14:paraId="7F1A15EF" w14:textId="77777777" w:rsidR="009F715F" w:rsidRPr="009F715F" w:rsidRDefault="009F715F" w:rsidP="0009049F">
      <w:pPr>
        <w:jc w:val="both"/>
      </w:pPr>
      <w:r w:rsidRPr="009F715F">
        <w:t xml:space="preserve">Para el desarrollo del modelo se empleó el corpus oficial de MEDDOCAN proporcionado en el desafío </w:t>
      </w:r>
      <w:proofErr w:type="spellStart"/>
      <w:r w:rsidRPr="009F715F">
        <w:t>IberLEF</w:t>
      </w:r>
      <w:proofErr w:type="spellEnd"/>
      <w:r w:rsidRPr="009F715F">
        <w:t xml:space="preserve"> 2019</w:t>
      </w:r>
      <w:hyperlink r:id="rId13" w:anchor=":~:text=The%20MEDDOCAN%20corpus%20was%20randomly,annotation%20toolkit%20was%20used%20to" w:tgtFrame="_blank" w:history="1">
        <w:r w:rsidRPr="009F715F">
          <w:rPr>
            <w:rStyle w:val="Hipervnculo"/>
          </w:rPr>
          <w:t>ceur-ws.org</w:t>
        </w:r>
      </w:hyperlink>
      <w:r w:rsidRPr="009F715F">
        <w:t>. Este corpus sintético contiene un total de 1.000 casos clínicos en español cuidadosamente anonimizados de forma manual por expertos. Se dividió en 3 subconjuntos: un conjunto de entrenamiento (500 documentos), un conjunto de desarrollo/validación (250 documentos) y un conjunto de prueba (250 documentos)</w:t>
      </w:r>
      <w:hyperlink r:id="rId14" w:anchor=":~:text=The%20MEDDOCAN%20corpus%20was%20randomly,annotation%20toolkit%20was%20used%20to" w:tgtFrame="_blank" w:history="1">
        <w:r w:rsidRPr="009F715F">
          <w:rPr>
            <w:rStyle w:val="Hipervnculo"/>
          </w:rPr>
          <w:t>ceur-ws.org</w:t>
        </w:r>
      </w:hyperlink>
      <w:r w:rsidRPr="009F715F">
        <w:t>. Cada documento clínico en el corpus está anotado con todas las menciones de PHI presentes, siguiendo las guías mencionadas. Esto proporcionó un Gold Standard riguroso para entrenar y evaluar nuestro modelo.</w:t>
      </w:r>
    </w:p>
    <w:p w14:paraId="26C87194" w14:textId="77777777" w:rsidR="009F715F" w:rsidRPr="009F715F" w:rsidRDefault="009F715F" w:rsidP="0009049F">
      <w:pPr>
        <w:jc w:val="both"/>
      </w:pPr>
      <w:r w:rsidRPr="009F715F">
        <w:t>El proceso seguido fue:</w:t>
      </w:r>
    </w:p>
    <w:p w14:paraId="72BA0910" w14:textId="77777777" w:rsidR="009F715F" w:rsidRPr="009F715F" w:rsidRDefault="009F715F" w:rsidP="0009049F">
      <w:pPr>
        <w:numPr>
          <w:ilvl w:val="0"/>
          <w:numId w:val="2"/>
        </w:numPr>
        <w:jc w:val="both"/>
      </w:pPr>
      <w:r w:rsidRPr="009F715F">
        <w:lastRenderedPageBreak/>
        <w:t>Entrenamiento: Se entrenó el modelo NER con los 500 documentos del conjunto de entrenamiento, ajustando sus parámetros internos para aprender a reconocer patrones de PHI.</w:t>
      </w:r>
    </w:p>
    <w:p w14:paraId="65FAA3E5" w14:textId="77777777" w:rsidR="009F715F" w:rsidRPr="009F715F" w:rsidRDefault="009F715F" w:rsidP="0009049F">
      <w:pPr>
        <w:numPr>
          <w:ilvl w:val="0"/>
          <w:numId w:val="2"/>
        </w:numPr>
        <w:jc w:val="both"/>
      </w:pPr>
      <w:r w:rsidRPr="009F715F">
        <w:t xml:space="preserve">Validación (Desarrollo): Durante la optimización, se utilizó el conjunto de 250 documentos de desarrollo para pruebas intermedias, con el fin de ajustar </w:t>
      </w:r>
      <w:proofErr w:type="spellStart"/>
      <w:r w:rsidRPr="009F715F">
        <w:t>hiperparámetros</w:t>
      </w:r>
      <w:proofErr w:type="spellEnd"/>
      <w:r w:rsidRPr="009F715F">
        <w:t xml:space="preserve"> y prevenir sobreajuste.</w:t>
      </w:r>
    </w:p>
    <w:p w14:paraId="5B6E7669" w14:textId="77777777" w:rsidR="009F715F" w:rsidRPr="009F715F" w:rsidRDefault="009F715F" w:rsidP="0009049F">
      <w:pPr>
        <w:numPr>
          <w:ilvl w:val="0"/>
          <w:numId w:val="2"/>
        </w:numPr>
        <w:jc w:val="both"/>
      </w:pPr>
      <w:r w:rsidRPr="009F715F">
        <w:t>Evaluación Final: Finalmente, el rendimiento del modelo se evaluó sobre el conjunto de prueba oficial (250 documentos), comparando las entidades detectadas automáticamente con las anotaciones reales. Esta evaluación final proporciona una medida objetiva de la eficacia de la herramienta sobre datos no vistos previamente.</w:t>
      </w:r>
    </w:p>
    <w:p w14:paraId="37C17B67" w14:textId="77777777" w:rsidR="009F715F" w:rsidRPr="009F715F" w:rsidRDefault="009F715F" w:rsidP="0009049F">
      <w:pPr>
        <w:jc w:val="both"/>
      </w:pPr>
      <w:r w:rsidRPr="009F715F">
        <w:t xml:space="preserve">Cabe destacar que el corpus MEDDOCAN es sintético pero representativo de casos clínicos reales en cuanto a la aparición de datos sensibles. Además, las anotaciones fueron realizadas con un alto grado de calidad y consistencia (acuerdo </w:t>
      </w:r>
      <w:proofErr w:type="spellStart"/>
      <w:r w:rsidRPr="009F715F">
        <w:t>interanotador</w:t>
      </w:r>
      <w:proofErr w:type="spellEnd"/>
      <w:r w:rsidRPr="009F715F">
        <w:t xml:space="preserve"> &gt;98% según los organizadores</w:t>
      </w:r>
      <w:hyperlink r:id="rId15" w:anchor=":~:text=To%20carry%20out%20the%20manual,been%20distributed%20along%20with%20the" w:tgtFrame="_blank" w:history="1">
        <w:r w:rsidRPr="009F715F">
          <w:rPr>
            <w:rStyle w:val="Hipervnculo"/>
          </w:rPr>
          <w:t>ceur-ws.org</w:t>
        </w:r>
      </w:hyperlink>
      <w:r w:rsidRPr="009F715F">
        <w:t>), lo que asegura la fiabilidad de la evaluación. Por tanto, los resultados obtenidos en esta validación pueden considerarse indicativos del desempeño esperado en documentos clínicos reales del hospital, asumiendo que la distribución de las entidades sensibles sea similar. No obstante, se prevé realizar pruebas adicionales con un subconjunto de documentos reales del hospital (bajo las debidas garantías de confidencialidad) para confirmar la efectividad del modelo en nuestro entorno específico, antes de una adopción a gran escala.</w:t>
      </w:r>
    </w:p>
    <w:p w14:paraId="14A7EF6B" w14:textId="77777777" w:rsidR="009F715F" w:rsidRPr="009F715F" w:rsidRDefault="009F715F" w:rsidP="0009049F">
      <w:pPr>
        <w:jc w:val="both"/>
        <w:rPr>
          <w:b/>
          <w:bCs/>
        </w:rPr>
      </w:pPr>
      <w:r w:rsidRPr="009F715F">
        <w:rPr>
          <w:b/>
          <w:bCs/>
        </w:rPr>
        <w:t>Resultados de la Validación del Modelo</w:t>
      </w:r>
    </w:p>
    <w:p w14:paraId="09989CEA" w14:textId="77777777" w:rsidR="009F715F" w:rsidRPr="009F715F" w:rsidRDefault="009F715F" w:rsidP="0009049F">
      <w:pPr>
        <w:jc w:val="both"/>
      </w:pPr>
      <w:r w:rsidRPr="009F715F">
        <w:t xml:space="preserve">La herramienta de </w:t>
      </w:r>
      <w:proofErr w:type="spellStart"/>
      <w:r w:rsidRPr="009F715F">
        <w:t>anonimización</w:t>
      </w:r>
      <w:proofErr w:type="spellEnd"/>
      <w:r w:rsidRPr="009F715F">
        <w:t xml:space="preserve"> ha demostrado un alto rendimiento en la detección de información sensible. A continuación, se resumen las métricas principales obtenidas en el conjunto de prueba de 250 documentos anotados (MEDDOCAN):</w:t>
      </w:r>
    </w:p>
    <w:p w14:paraId="3EC86399" w14:textId="77777777" w:rsidR="009F715F" w:rsidRPr="009F715F" w:rsidRDefault="009F715F" w:rsidP="0009049F">
      <w:pPr>
        <w:numPr>
          <w:ilvl w:val="0"/>
          <w:numId w:val="3"/>
        </w:numPr>
        <w:jc w:val="both"/>
      </w:pPr>
      <w:r w:rsidRPr="009F715F">
        <w:t>Precisión (</w:t>
      </w:r>
      <w:proofErr w:type="spellStart"/>
      <w:r w:rsidRPr="009F715F">
        <w:t>Precision</w:t>
      </w:r>
      <w:proofErr w:type="spellEnd"/>
      <w:r w:rsidRPr="009F715F">
        <w:t>): Porcentaje de entidades detectadas por la herramienta que efectivamente eran PHI reales.</w:t>
      </w:r>
    </w:p>
    <w:p w14:paraId="28A1ACF7" w14:textId="77777777" w:rsidR="009F715F" w:rsidRPr="009F715F" w:rsidRDefault="009F715F" w:rsidP="0009049F">
      <w:pPr>
        <w:numPr>
          <w:ilvl w:val="0"/>
          <w:numId w:val="3"/>
        </w:numPr>
        <w:jc w:val="both"/>
      </w:pPr>
      <w:r w:rsidRPr="009F715F">
        <w:t>Exhaustividad (Recall): Porcentaje de entidades PHI reales presentes en los documentos que la herramienta logró detectar.</w:t>
      </w:r>
    </w:p>
    <w:p w14:paraId="5D75450A" w14:textId="77777777" w:rsidR="009F715F" w:rsidRPr="009F715F" w:rsidRDefault="009F715F" w:rsidP="0009049F">
      <w:pPr>
        <w:numPr>
          <w:ilvl w:val="0"/>
          <w:numId w:val="3"/>
        </w:numPr>
        <w:jc w:val="both"/>
      </w:pPr>
      <w:r w:rsidRPr="009F715F">
        <w:t>Puntuación F1: Media armónica de precisión y exhaustividad (es una medida global de desempeño).</w:t>
      </w:r>
    </w:p>
    <w:p w14:paraId="76E66B25" w14:textId="77777777" w:rsidR="009F715F" w:rsidRPr="009F715F" w:rsidRDefault="009F715F" w:rsidP="0009049F">
      <w:pPr>
        <w:numPr>
          <w:ilvl w:val="0"/>
          <w:numId w:val="3"/>
        </w:numPr>
        <w:jc w:val="both"/>
      </w:pPr>
      <w:r w:rsidRPr="009F715F">
        <w:t>Tasa de Exposición de PHI (</w:t>
      </w:r>
      <w:proofErr w:type="spellStart"/>
      <w:r w:rsidRPr="009F715F">
        <w:t>Exposure</w:t>
      </w:r>
      <w:proofErr w:type="spellEnd"/>
      <w:r w:rsidRPr="009F715F">
        <w:t xml:space="preserve"> </w:t>
      </w:r>
      <w:proofErr w:type="spellStart"/>
      <w:r w:rsidRPr="009F715F">
        <w:t>Rate</w:t>
      </w:r>
      <w:proofErr w:type="spellEnd"/>
      <w:r w:rsidRPr="009F715F">
        <w:t xml:space="preserve">): Porcentaje de las menciones de PHI reales que quedaron sin anonimizar (no detectadas por el sistema, suponiendo que todo lo detectado se anonimizara). Es una métrica de </w:t>
      </w:r>
      <w:r w:rsidRPr="009F715F">
        <w:rPr>
          <w:i/>
          <w:iCs/>
        </w:rPr>
        <w:t>riesgo residual</w:t>
      </w:r>
      <w:r w:rsidRPr="009F715F">
        <w:t xml:space="preserve">, complementaria al </w:t>
      </w:r>
      <w:proofErr w:type="spellStart"/>
      <w:r w:rsidRPr="009F715F">
        <w:t>recall</w:t>
      </w:r>
      <w:proofErr w:type="spellEnd"/>
      <w:r w:rsidRPr="009F715F">
        <w:t>.</w:t>
      </w:r>
    </w:p>
    <w:p w14:paraId="00A95478" w14:textId="77777777" w:rsidR="009F715F" w:rsidRPr="009F715F" w:rsidRDefault="009F715F" w:rsidP="0009049F">
      <w:pPr>
        <w:numPr>
          <w:ilvl w:val="0"/>
          <w:numId w:val="3"/>
        </w:numPr>
        <w:jc w:val="both"/>
      </w:pPr>
      <w:r w:rsidRPr="009F715F">
        <w:t>Evaluación “</w:t>
      </w:r>
      <w:proofErr w:type="spellStart"/>
      <w:r w:rsidRPr="009F715F">
        <w:t>Strict</w:t>
      </w:r>
      <w:proofErr w:type="spellEnd"/>
      <w:r w:rsidRPr="009F715F">
        <w:t>” vs “</w:t>
      </w:r>
      <w:proofErr w:type="spellStart"/>
      <w:r w:rsidRPr="009F715F">
        <w:t>Overlap</w:t>
      </w:r>
      <w:proofErr w:type="spellEnd"/>
      <w:r w:rsidRPr="009F715F">
        <w:t xml:space="preserve">”: Se aplicaron dos criterios de evaluación comunes en </w:t>
      </w:r>
      <w:proofErr w:type="spellStart"/>
      <w:r w:rsidRPr="009F715F">
        <w:t>anonimización</w:t>
      </w:r>
      <w:proofErr w:type="spellEnd"/>
      <w:r w:rsidRPr="009F715F">
        <w:t>: el estricto (</w:t>
      </w:r>
      <w:proofErr w:type="spellStart"/>
      <w:r w:rsidRPr="009F715F">
        <w:t>Strict</w:t>
      </w:r>
      <w:proofErr w:type="spellEnd"/>
      <w:r w:rsidRPr="009F715F">
        <w:t>), que exige que la herramienta acierte exactamente los límites de cada entidad y su categoría para considerarla correcta; y el relajado por solapamiento (</w:t>
      </w:r>
      <w:proofErr w:type="spellStart"/>
      <w:r w:rsidRPr="009F715F">
        <w:t>Overlap</w:t>
      </w:r>
      <w:proofErr w:type="spellEnd"/>
      <w:r w:rsidRPr="009F715F">
        <w:t xml:space="preserve">), que considera correcto si la herramienta marcó una parte de la entidad (aunque no coincida exactamente toda la extensión o el tipo). Este último refleja la capacidad de al menos </w:t>
      </w:r>
      <w:r w:rsidRPr="009F715F">
        <w:rPr>
          <w:i/>
          <w:iCs/>
        </w:rPr>
        <w:t>cubrir</w:t>
      </w:r>
      <w:r w:rsidRPr="009F715F">
        <w:t xml:space="preserve"> parcialmente la información sensible, aunque no sea con exactitud perfecta, algo relevante en </w:t>
      </w:r>
      <w:r w:rsidRPr="009F715F">
        <w:lastRenderedPageBreak/>
        <w:t>contextos donde cualquier detección parcial ya sirve para ocultar la información. Las métricas “</w:t>
      </w:r>
      <w:proofErr w:type="spellStart"/>
      <w:r w:rsidRPr="009F715F">
        <w:t>Strict</w:t>
      </w:r>
      <w:proofErr w:type="spellEnd"/>
      <w:r w:rsidRPr="009F715F">
        <w:t>” son más exigentes, mientras que las de “</w:t>
      </w:r>
      <w:proofErr w:type="spellStart"/>
      <w:r w:rsidRPr="009F715F">
        <w:t>Overlap</w:t>
      </w:r>
      <w:proofErr w:type="spellEnd"/>
      <w:r w:rsidRPr="009F715F">
        <w:t>” dan crédito a detecciones parciales.</w:t>
      </w:r>
    </w:p>
    <w:p w14:paraId="7B1A33F7" w14:textId="708FFD9E" w:rsidR="009F715F" w:rsidRPr="009F715F" w:rsidRDefault="009F715F" w:rsidP="0009049F">
      <w:pPr>
        <w:jc w:val="both"/>
      </w:pPr>
    </w:p>
    <w:tbl>
      <w:tblPr>
        <w:tblStyle w:val="Tabladecuadrcula4"/>
        <w:tblW w:w="0" w:type="auto"/>
        <w:tblLook w:val="04A0" w:firstRow="1" w:lastRow="0" w:firstColumn="1" w:lastColumn="0" w:noHBand="0" w:noVBand="1"/>
      </w:tblPr>
      <w:tblGrid>
        <w:gridCol w:w="2664"/>
        <w:gridCol w:w="1098"/>
        <w:gridCol w:w="814"/>
        <w:gridCol w:w="3227"/>
      </w:tblGrid>
      <w:tr w:rsidR="009F715F" w:rsidRPr="009F715F" w14:paraId="3B139684" w14:textId="77777777" w:rsidTr="00090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889A9" w14:textId="77777777" w:rsidR="009F715F" w:rsidRPr="009F715F" w:rsidRDefault="009F715F" w:rsidP="0009049F">
            <w:pPr>
              <w:spacing w:after="160" w:line="259" w:lineRule="auto"/>
              <w:jc w:val="both"/>
              <w:rPr>
                <w:b w:val="0"/>
                <w:bCs w:val="0"/>
              </w:rPr>
            </w:pPr>
            <w:r w:rsidRPr="009F715F">
              <w:rPr>
                <w:b w:val="0"/>
                <w:bCs w:val="0"/>
              </w:rPr>
              <w:t>Métrica</w:t>
            </w:r>
          </w:p>
        </w:tc>
        <w:tc>
          <w:tcPr>
            <w:tcW w:w="0" w:type="auto"/>
            <w:hideMark/>
          </w:tcPr>
          <w:p w14:paraId="74D5F23B" w14:textId="77777777" w:rsidR="009F715F" w:rsidRPr="009F715F" w:rsidRDefault="009F715F" w:rsidP="0009049F">
            <w:pPr>
              <w:spacing w:after="160" w:line="259"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9F715F">
              <w:rPr>
                <w:b w:val="0"/>
                <w:bCs w:val="0"/>
              </w:rPr>
              <w:t>Precisión</w:t>
            </w:r>
          </w:p>
        </w:tc>
        <w:tc>
          <w:tcPr>
            <w:tcW w:w="0" w:type="auto"/>
            <w:hideMark/>
          </w:tcPr>
          <w:p w14:paraId="4EBAB978" w14:textId="77777777" w:rsidR="009F715F" w:rsidRPr="009F715F" w:rsidRDefault="009F715F" w:rsidP="0009049F">
            <w:pPr>
              <w:spacing w:after="160" w:line="259"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9F715F">
              <w:rPr>
                <w:b w:val="0"/>
                <w:bCs w:val="0"/>
              </w:rPr>
              <w:t>Recall</w:t>
            </w:r>
          </w:p>
        </w:tc>
        <w:tc>
          <w:tcPr>
            <w:tcW w:w="0" w:type="auto"/>
            <w:hideMark/>
          </w:tcPr>
          <w:p w14:paraId="6C6A0A21" w14:textId="77777777" w:rsidR="009F715F" w:rsidRPr="009F715F" w:rsidRDefault="009F715F" w:rsidP="0009049F">
            <w:pPr>
              <w:spacing w:after="160" w:line="259"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9F715F">
              <w:rPr>
                <w:b w:val="0"/>
                <w:bCs w:val="0"/>
              </w:rPr>
              <w:t>F1</w:t>
            </w:r>
          </w:p>
        </w:tc>
      </w:tr>
      <w:tr w:rsidR="009F715F" w:rsidRPr="009F715F" w14:paraId="47CEBF23" w14:textId="77777777" w:rsidTr="00090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2099C" w14:textId="77777777" w:rsidR="009F715F" w:rsidRPr="009F715F" w:rsidRDefault="009F715F" w:rsidP="0009049F">
            <w:pPr>
              <w:spacing w:after="160" w:line="259" w:lineRule="auto"/>
              <w:jc w:val="both"/>
              <w:rPr>
                <w:b w:val="0"/>
                <w:bCs w:val="0"/>
              </w:rPr>
            </w:pPr>
            <w:proofErr w:type="spellStart"/>
            <w:r w:rsidRPr="009F715F">
              <w:rPr>
                <w:b w:val="0"/>
                <w:bCs w:val="0"/>
              </w:rPr>
              <w:t>Strict</w:t>
            </w:r>
            <w:proofErr w:type="spellEnd"/>
            <w:r w:rsidRPr="009F715F">
              <w:rPr>
                <w:b w:val="0"/>
                <w:bCs w:val="0"/>
              </w:rPr>
              <w:t xml:space="preserve"> (Exacto)</w:t>
            </w:r>
          </w:p>
        </w:tc>
        <w:tc>
          <w:tcPr>
            <w:tcW w:w="0" w:type="auto"/>
            <w:hideMark/>
          </w:tcPr>
          <w:p w14:paraId="0CB7A6B4" w14:textId="77777777" w:rsidR="009F715F" w:rsidRPr="009F715F" w:rsidRDefault="009F715F" w:rsidP="0009049F">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9F715F">
              <w:t>74,7%</w:t>
            </w:r>
          </w:p>
        </w:tc>
        <w:tc>
          <w:tcPr>
            <w:tcW w:w="0" w:type="auto"/>
            <w:hideMark/>
          </w:tcPr>
          <w:p w14:paraId="7C82F2C5" w14:textId="77777777" w:rsidR="009F715F" w:rsidRPr="009F715F" w:rsidRDefault="009F715F" w:rsidP="0009049F">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9F715F">
              <w:t>78,7%</w:t>
            </w:r>
          </w:p>
        </w:tc>
        <w:tc>
          <w:tcPr>
            <w:tcW w:w="0" w:type="auto"/>
            <w:hideMark/>
          </w:tcPr>
          <w:p w14:paraId="46A8764A" w14:textId="77777777" w:rsidR="009F715F" w:rsidRPr="009F715F" w:rsidRDefault="009F715F" w:rsidP="0009049F">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9F715F">
              <w:t>76,7%</w:t>
            </w:r>
          </w:p>
        </w:tc>
      </w:tr>
      <w:tr w:rsidR="009F715F" w:rsidRPr="009F715F" w14:paraId="5F48D5BC" w14:textId="77777777" w:rsidTr="0009049F">
        <w:tc>
          <w:tcPr>
            <w:cnfStyle w:val="001000000000" w:firstRow="0" w:lastRow="0" w:firstColumn="1" w:lastColumn="0" w:oddVBand="0" w:evenVBand="0" w:oddHBand="0" w:evenHBand="0" w:firstRowFirstColumn="0" w:firstRowLastColumn="0" w:lastRowFirstColumn="0" w:lastRowLastColumn="0"/>
            <w:tcW w:w="0" w:type="auto"/>
            <w:hideMark/>
          </w:tcPr>
          <w:p w14:paraId="61877BC7" w14:textId="77777777" w:rsidR="009F715F" w:rsidRPr="009F715F" w:rsidRDefault="009F715F" w:rsidP="0009049F">
            <w:pPr>
              <w:spacing w:after="160" w:line="259" w:lineRule="auto"/>
              <w:jc w:val="both"/>
              <w:rPr>
                <w:b w:val="0"/>
                <w:bCs w:val="0"/>
              </w:rPr>
            </w:pPr>
            <w:proofErr w:type="spellStart"/>
            <w:r w:rsidRPr="009F715F">
              <w:rPr>
                <w:b w:val="0"/>
                <w:bCs w:val="0"/>
              </w:rPr>
              <w:t>Overlap</w:t>
            </w:r>
            <w:proofErr w:type="spellEnd"/>
            <w:r w:rsidRPr="009F715F">
              <w:rPr>
                <w:b w:val="0"/>
                <w:bCs w:val="0"/>
              </w:rPr>
              <w:t xml:space="preserve"> (Solapamiento)</w:t>
            </w:r>
          </w:p>
        </w:tc>
        <w:tc>
          <w:tcPr>
            <w:tcW w:w="0" w:type="auto"/>
            <w:hideMark/>
          </w:tcPr>
          <w:p w14:paraId="25A467DF" w14:textId="77777777" w:rsidR="009F715F" w:rsidRPr="009F715F" w:rsidRDefault="009F715F" w:rsidP="0009049F">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9F715F">
              <w:t>89,5%</w:t>
            </w:r>
          </w:p>
        </w:tc>
        <w:tc>
          <w:tcPr>
            <w:tcW w:w="0" w:type="auto"/>
            <w:hideMark/>
          </w:tcPr>
          <w:p w14:paraId="2F31A30A" w14:textId="77777777" w:rsidR="009F715F" w:rsidRPr="009F715F" w:rsidRDefault="009F715F" w:rsidP="0009049F">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9F715F">
              <w:t>94,3%</w:t>
            </w:r>
          </w:p>
        </w:tc>
        <w:tc>
          <w:tcPr>
            <w:tcW w:w="0" w:type="auto"/>
            <w:hideMark/>
          </w:tcPr>
          <w:p w14:paraId="1E4885FC" w14:textId="77777777" w:rsidR="009F715F" w:rsidRPr="009F715F" w:rsidRDefault="009F715F" w:rsidP="0009049F">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9F715F">
              <w:t>91,8%</w:t>
            </w:r>
          </w:p>
        </w:tc>
      </w:tr>
      <w:tr w:rsidR="009F715F" w:rsidRPr="009F715F" w14:paraId="41CF5E70" w14:textId="77777777" w:rsidTr="00090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C6830" w14:textId="77777777" w:rsidR="009F715F" w:rsidRPr="009F715F" w:rsidRDefault="009F715F" w:rsidP="0009049F">
            <w:pPr>
              <w:spacing w:after="160" w:line="259" w:lineRule="auto"/>
              <w:jc w:val="both"/>
              <w:rPr>
                <w:b w:val="0"/>
                <w:bCs w:val="0"/>
              </w:rPr>
            </w:pPr>
            <w:r w:rsidRPr="009F715F">
              <w:rPr>
                <w:b w:val="0"/>
                <w:bCs w:val="0"/>
              </w:rPr>
              <w:t>Tasa de exposición de PHI</w:t>
            </w:r>
          </w:p>
        </w:tc>
        <w:tc>
          <w:tcPr>
            <w:tcW w:w="0" w:type="auto"/>
            <w:hideMark/>
          </w:tcPr>
          <w:p w14:paraId="1075B994" w14:textId="77777777" w:rsidR="009F715F" w:rsidRPr="009F715F" w:rsidRDefault="009F715F" w:rsidP="0009049F">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9F715F">
              <w:t>–</w:t>
            </w:r>
          </w:p>
        </w:tc>
        <w:tc>
          <w:tcPr>
            <w:tcW w:w="0" w:type="auto"/>
            <w:hideMark/>
          </w:tcPr>
          <w:p w14:paraId="0F5D28D4" w14:textId="77777777" w:rsidR="009F715F" w:rsidRPr="009F715F" w:rsidRDefault="009F715F" w:rsidP="0009049F">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9F715F">
              <w:t>–</w:t>
            </w:r>
          </w:p>
        </w:tc>
        <w:tc>
          <w:tcPr>
            <w:tcW w:w="0" w:type="auto"/>
            <w:hideMark/>
          </w:tcPr>
          <w:p w14:paraId="03F3FA20" w14:textId="77777777" w:rsidR="009F715F" w:rsidRPr="009F715F" w:rsidRDefault="009F715F" w:rsidP="0009049F">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9F715F">
              <w:t>7,4% (de las PHI no detectadas)</w:t>
            </w:r>
          </w:p>
        </w:tc>
      </w:tr>
    </w:tbl>
    <w:p w14:paraId="03C9BC85" w14:textId="77777777" w:rsidR="0009049F" w:rsidRDefault="0009049F" w:rsidP="0009049F">
      <w:pPr>
        <w:jc w:val="both"/>
      </w:pPr>
    </w:p>
    <w:p w14:paraId="7D323965" w14:textId="514CA102" w:rsidR="0009049F" w:rsidRDefault="0009049F" w:rsidP="0009049F">
      <w:pPr>
        <w:jc w:val="both"/>
      </w:pPr>
      <w:r w:rsidRPr="009F715F">
        <w:t xml:space="preserve">Tabla 1. Desempeño de la herramienta de </w:t>
      </w:r>
      <w:proofErr w:type="spellStart"/>
      <w:r w:rsidRPr="009F715F">
        <w:t>anonimización</w:t>
      </w:r>
      <w:proofErr w:type="spellEnd"/>
      <w:r w:rsidRPr="009F715F">
        <w:t xml:space="preserve"> en 250 documentos de prueba (MEDDOCAN). Se presentan los valores de Precisión, Recall y F1 bajo los criterios estricto y por solapamiento, junto con la tasa de exposición de PHI residual.</w:t>
      </w:r>
    </w:p>
    <w:p w14:paraId="058A8576" w14:textId="77777777" w:rsidR="0009049F" w:rsidRDefault="0009049F" w:rsidP="0009049F">
      <w:pPr>
        <w:jc w:val="both"/>
      </w:pPr>
    </w:p>
    <w:p w14:paraId="4B66CD19" w14:textId="0AD0C10B" w:rsidR="009F715F" w:rsidRPr="009F715F" w:rsidRDefault="009F715F" w:rsidP="0009049F">
      <w:pPr>
        <w:jc w:val="both"/>
      </w:pPr>
      <w:r w:rsidRPr="009F715F">
        <w:t>Como puede apreciarse, el modelo identifica correctamente alrededor del 76-77% de las entidades sensibles con coincidencia exacta (</w:t>
      </w:r>
      <w:proofErr w:type="spellStart"/>
      <w:r w:rsidRPr="009F715F">
        <w:t>Strict</w:t>
      </w:r>
      <w:proofErr w:type="spellEnd"/>
      <w:r w:rsidRPr="009F715F">
        <w:t xml:space="preserve"> F1 ≈ 0,767). Bajo un criterio más laxo de solapamiento, la cobertura asciende a ~92% (</w:t>
      </w:r>
      <w:proofErr w:type="spellStart"/>
      <w:r w:rsidRPr="009F715F">
        <w:t>Overlap</w:t>
      </w:r>
      <w:proofErr w:type="spellEnd"/>
      <w:r w:rsidRPr="009F715F">
        <w:t xml:space="preserve"> F1 ≈ 0,918), lo que indica que en la gran mayoría de los casos en que alguna información sensible no se marcó perfectamente, al menos una parte de ella sí fue marcada por el sistema. En términos de </w:t>
      </w:r>
      <w:r w:rsidRPr="009F715F">
        <w:rPr>
          <w:i/>
          <w:iCs/>
        </w:rPr>
        <w:t>precisión</w:t>
      </w:r>
      <w:r w:rsidRPr="009F715F">
        <w:t xml:space="preserve">, aproximadamente 3 de cada 4 detecciones del sistema son efectivamente correctas en estricto, y más de 89% lo son en solapamiento, lo cual es aceptable para un proceso automatizado de este tipo. La </w:t>
      </w:r>
      <w:r w:rsidRPr="009F715F">
        <w:rPr>
          <w:i/>
          <w:iCs/>
        </w:rPr>
        <w:t>exhaustividad</w:t>
      </w:r>
      <w:r w:rsidRPr="009F715F">
        <w:t xml:space="preserve"> o </w:t>
      </w:r>
      <w:proofErr w:type="spellStart"/>
      <w:r w:rsidRPr="009F715F">
        <w:t>recall</w:t>
      </w:r>
      <w:proofErr w:type="spellEnd"/>
      <w:r w:rsidRPr="009F715F">
        <w:t xml:space="preserve"> en estricto se acerca al 79%, y en solapamiento llega al 94%, demostrando que el sistema logra encontrar la mayoría de las PHI presentes.</w:t>
      </w:r>
    </w:p>
    <w:p w14:paraId="41D70CD3" w14:textId="77777777" w:rsidR="009F715F" w:rsidRPr="009F715F" w:rsidRDefault="009F715F" w:rsidP="0009049F">
      <w:pPr>
        <w:jc w:val="both"/>
      </w:pPr>
      <w:r w:rsidRPr="009F715F">
        <w:t xml:space="preserve">La tasa de exposición resultante es de solo 7,4%. Esto significa que menos del 7-8% de las menciones de datos sensibles quedaron sin anonimizar tras el proceso automático. Dicho de otro modo, el 92-93% de toda la información sensible fue correctamente enmascarada por la herramienta. Este nivel de desempeño se considera muy bueno en comparación con experiencias publicadas en la literatura para tareas de </w:t>
      </w:r>
      <w:proofErr w:type="spellStart"/>
      <w:r w:rsidRPr="009F715F">
        <w:t>anonimización</w:t>
      </w:r>
      <w:proofErr w:type="spellEnd"/>
      <w:r w:rsidRPr="009F715F">
        <w:t xml:space="preserve"> en inglés y español. Por ejemplo, estudios previos en inglés (desafíos i2b2) reportaron F1 en torno al 95%, y el propio desafío MEDDOCAN mostró que los mejores sistemas alcanzaron F1 parciales alrededor del 91-93%</w:t>
      </w:r>
      <w:hyperlink r:id="rId16" w:anchor=":~:text=classified%20and%20its%20left%20and,sensitive%20token%20detection" w:tgtFrame="_blank" w:history="1">
        <w:r w:rsidRPr="009F715F">
          <w:rPr>
            <w:rStyle w:val="Hipervnculo"/>
          </w:rPr>
          <w:t>ceur-ws.org</w:t>
        </w:r>
      </w:hyperlink>
      <w:r w:rsidRPr="009F715F">
        <w:t>, situando a nuestra herramienta en un rango competitivo a nivel internacional.</w:t>
      </w:r>
    </w:p>
    <w:p w14:paraId="7213E533" w14:textId="77777777" w:rsidR="009F715F" w:rsidRPr="009F715F" w:rsidRDefault="009F715F" w:rsidP="0009049F">
      <w:pPr>
        <w:jc w:val="both"/>
      </w:pPr>
      <w:r w:rsidRPr="009F715F">
        <w:t xml:space="preserve">No obstante, es importante analizar las implicaciones de la PHI no detectada. De los 250 documentos evaluados, en 244 documentos (97,6%) quedó al menos una entidad sensible sin reconocer por el modelo, aunque fuese de forma parcial. Solo 6 documentos (2,4%) fueron completamente anonimizados de manera automática. Las entidades omitidas suelen ser casos difíciles o poco frecuentes (por ejemplo, formatos inusuales de un dato, o información de contexto no estándar). Para mitigar este riesgo residual, se implementarán medidas adicionales: en primer lugar, el uso de este sistema se circunscribirá al análisis de datos retrospectivos internos del hospital (los documentos anonimizados no se publicarán externamente sin revisión). Además, se combinará la </w:t>
      </w:r>
      <w:proofErr w:type="spellStart"/>
      <w:r w:rsidRPr="009F715F">
        <w:t>anonimización</w:t>
      </w:r>
      <w:proofErr w:type="spellEnd"/>
      <w:r w:rsidRPr="009F715F">
        <w:t xml:space="preserve"> automática con una revisión manual complementaria cuando sea </w:t>
      </w:r>
      <w:r w:rsidRPr="009F715F">
        <w:lastRenderedPageBreak/>
        <w:t>necesario, especialmente si se prevé compartir algún texto fuera del entorno del equipo investigador. De esta forma, cualquier posible información identificativa remanente podrá ser detectada y eliminada por un experto humano antes de la difusión de datos.</w:t>
      </w:r>
    </w:p>
    <w:p w14:paraId="004CBA9C" w14:textId="77777777" w:rsidR="009F715F" w:rsidRPr="009F715F" w:rsidRDefault="009F715F" w:rsidP="0009049F">
      <w:pPr>
        <w:jc w:val="both"/>
      </w:pPr>
      <w:r w:rsidRPr="009F715F">
        <w:t xml:space="preserve">En resumen, los resultados de validación respaldan que la herramienta ofrece un alto grado de </w:t>
      </w:r>
      <w:proofErr w:type="spellStart"/>
      <w:r w:rsidRPr="009F715F">
        <w:t>anonimización</w:t>
      </w:r>
      <w:proofErr w:type="spellEnd"/>
      <w:r w:rsidRPr="009F715F">
        <w:t xml:space="preserve"> automática, reduciendo drásticamente la presencia de PHI en los documentos. La pequeña proporción de información no anonimizada automáticamente podrá ser gestionada con procedimientos adicionales, asegurando así un cumplimiento pleno de la confidencialidad. Estos resultados proporcionan una base sólida para confiar en la aplicación de la herramienta en el entorno del Hospital La Paz con fines de investigación. Los informes técnicos detallados (incluyendo métricas por tipo de entidad, ejemplos de salidas anonimizadas, etc.) se adjuntan en formato JSON y pueden facilitarse al comité para su revisión exhaustiva si se requiere.</w:t>
      </w:r>
    </w:p>
    <w:p w14:paraId="1A9FA780" w14:textId="77777777" w:rsidR="009F715F" w:rsidRPr="009F715F" w:rsidRDefault="009F715F" w:rsidP="0009049F">
      <w:pPr>
        <w:jc w:val="both"/>
        <w:rPr>
          <w:b/>
          <w:bCs/>
        </w:rPr>
      </w:pPr>
      <w:r w:rsidRPr="009F715F">
        <w:rPr>
          <w:b/>
          <w:bCs/>
        </w:rPr>
        <w:t>Consideraciones Éticas y Cumplimiento Normativo</w:t>
      </w:r>
    </w:p>
    <w:p w14:paraId="79E98F26" w14:textId="77777777" w:rsidR="009F715F" w:rsidRPr="009F715F" w:rsidRDefault="009F715F" w:rsidP="0009049F">
      <w:pPr>
        <w:jc w:val="both"/>
      </w:pPr>
      <w:r w:rsidRPr="009F715F">
        <w:t>El proyecto se enmarca en un estudio de datos retrospectivos y no intervencionista, lo que supone un riesgo mínimo para los participantes. No se realizará ninguna acción sobre los pacientes ni modificación en su tratamiento; únicamente se operará sobre datos ya existentes en las historias clínicas. A continuación, se detallan los aspectos éticos y legales relevantes:</w:t>
      </w:r>
    </w:p>
    <w:p w14:paraId="10258F1D" w14:textId="77777777" w:rsidR="009F715F" w:rsidRPr="009F715F" w:rsidRDefault="009F715F" w:rsidP="0009049F">
      <w:pPr>
        <w:numPr>
          <w:ilvl w:val="0"/>
          <w:numId w:val="4"/>
        </w:numPr>
        <w:jc w:val="both"/>
      </w:pPr>
      <w:r w:rsidRPr="009F715F">
        <w:t xml:space="preserve">Confidencialidad y RGPD: Todo el procesamiento de datos se llevará a cabo bajo las garantías de confidencialidad establecidas por el Hospital La Paz. Los datos originales con identificadores personales nunca saldrán de los sistemas seguros del hospital. La </w:t>
      </w:r>
      <w:proofErr w:type="spellStart"/>
      <w:r w:rsidRPr="009F715F">
        <w:t>anonimización</w:t>
      </w:r>
      <w:proofErr w:type="spellEnd"/>
      <w:r w:rsidRPr="009F715F">
        <w:t xml:space="preserve"> automática propuesta está alineada con lo dispuesto en el Reglamento (UE) 2016/679 (RGPD) en cuanto a </w:t>
      </w:r>
      <w:proofErr w:type="spellStart"/>
      <w:r w:rsidRPr="009F715F">
        <w:t>seudonimización</w:t>
      </w:r>
      <w:proofErr w:type="spellEnd"/>
      <w:r w:rsidRPr="009F715F">
        <w:t>/</w:t>
      </w:r>
      <w:proofErr w:type="spellStart"/>
      <w:r w:rsidRPr="009F715F">
        <w:t>anonimización</w:t>
      </w:r>
      <w:proofErr w:type="spellEnd"/>
      <w:r w:rsidRPr="009F715F">
        <w:t xml:space="preserve"> de datos personales para fines de investigación. De hecho, las categorías de datos a eliminar fueron definidas siguiendo el análisis de dicho reglamento</w:t>
      </w:r>
      <w:hyperlink r:id="rId17" w:anchor=":~:text=synthetic%20corpus%20of%20clinical%20case,access%20hurdle%20for%20Spanish%20lan%02guage" w:tgtFrame="_blank" w:history="1">
        <w:r w:rsidRPr="009F715F">
          <w:rPr>
            <w:rStyle w:val="Hipervnculo"/>
          </w:rPr>
          <w:t>ceur-ws.org</w:t>
        </w:r>
      </w:hyperlink>
      <w:r w:rsidRPr="009F715F">
        <w:t>, asegurando que la salida anonimizada no contenga información considerada dato personal. Asimismo, se tendrá en cuenta la Ley Orgánica 3/2018 de Protección de Datos Personales y Garantía de los Derechos Digitales, especialmente en lo relativo al tratamiento de datos de salud con fines de investigación científica.</w:t>
      </w:r>
    </w:p>
    <w:p w14:paraId="0BEFFD37" w14:textId="77777777" w:rsidR="009F715F" w:rsidRPr="009F715F" w:rsidRDefault="009F715F" w:rsidP="0009049F">
      <w:pPr>
        <w:numPr>
          <w:ilvl w:val="0"/>
          <w:numId w:val="4"/>
        </w:numPr>
        <w:jc w:val="both"/>
      </w:pPr>
      <w:r w:rsidRPr="009F715F">
        <w:t xml:space="preserve">Obtención del Consentimiento: Dado que los datos serán anónimos irreversibles tras el procesamiento (es decir, no será posible identificar a los pacientes en los resultados), y que se trata de información ya recopilada en el pasado durante la asistencia sanitaria rutinaria, no se prevé recabar un consentimiento informado individual de los pacientes para este uso secundario. Esta exención de consentimiento se solicitará al Comité de Ética, amparándonos en la normativa que permite el uso de datos </w:t>
      </w:r>
      <w:proofErr w:type="spellStart"/>
      <w:r w:rsidRPr="009F715F">
        <w:t>seudonimizados</w:t>
      </w:r>
      <w:proofErr w:type="spellEnd"/>
      <w:r w:rsidRPr="009F715F">
        <w:t>/anónimos para investigación retrospectiva siempre que exista autorización del comité y se implementen medidas de salvaguarda de la privacidad. En cualquier caso, si el Comité lo estimase necesario, se acatarán las recomendaciones adicionales pertinentes.</w:t>
      </w:r>
    </w:p>
    <w:p w14:paraId="10D1EADE" w14:textId="77777777" w:rsidR="009F715F" w:rsidRPr="009F715F" w:rsidRDefault="009F715F" w:rsidP="0009049F">
      <w:pPr>
        <w:numPr>
          <w:ilvl w:val="0"/>
          <w:numId w:val="4"/>
        </w:numPr>
        <w:jc w:val="both"/>
      </w:pPr>
      <w:r w:rsidRPr="009F715F">
        <w:t xml:space="preserve">Beneficios vs. Riesgos: El beneficio potencial de este proyecto es considerable: facilitar nuevas investigaciones y estudios con datos clínicos reales del hospital (por ejemplo, estudios epidemiológicos, de calidad asistencial, de inteligencia artificial, etc.) sin comprometer la privacidad. Esto puede redundar en mejoras en la atención sanitaria y generación de conocimiento médico. Por otro lado, los </w:t>
      </w:r>
      <w:r w:rsidRPr="009F715F">
        <w:lastRenderedPageBreak/>
        <w:t xml:space="preserve">riesgos se limitan prácticamente al riesgo de </w:t>
      </w:r>
      <w:proofErr w:type="spellStart"/>
      <w:r w:rsidRPr="009F715F">
        <w:t>reidentificación</w:t>
      </w:r>
      <w:proofErr w:type="spellEnd"/>
      <w:r w:rsidRPr="009F715F">
        <w:t xml:space="preserve"> si la </w:t>
      </w:r>
      <w:proofErr w:type="spellStart"/>
      <w:r w:rsidRPr="009F715F">
        <w:t>anonimización</w:t>
      </w:r>
      <w:proofErr w:type="spellEnd"/>
      <w:r w:rsidRPr="009F715F">
        <w:t xml:space="preserve"> fuera incompleta. Como se expuso, el modelo tiene un alto rendimiento, y además se implementarán revisiones manuales para garantizar la completa desidentificación antes de cualquier uso público de los datos. Por lo tanto, el riesgo residual de una brecha de confidencialidad es muy bajo. No se anticipan otros riesgos para los pacientes, ya que no hay intervención directa. El proyecto cuenta con el apoyo del Servicio de Informática del hospital para asegurar que la herramienta se integre adecuadamente sin exponer datos en redes inseguras.</w:t>
      </w:r>
    </w:p>
    <w:p w14:paraId="602C0FDA" w14:textId="77777777" w:rsidR="009F715F" w:rsidRPr="009F715F" w:rsidRDefault="009F715F" w:rsidP="0009049F">
      <w:pPr>
        <w:numPr>
          <w:ilvl w:val="0"/>
          <w:numId w:val="4"/>
        </w:numPr>
        <w:jc w:val="both"/>
      </w:pPr>
      <w:r w:rsidRPr="009F715F">
        <w:t>Cumplimiento de Normativas y Buenas Prácticas: Además del RGPD y la LOPDGDD, el proyecto seguirá las buenas prácticas de investigación clínica y las directrices emanadas por el Comité Ético. Se elaborará un protocolo interno detallando cómo se anonimizan los datos, quién tiene acceso a ellos y con qué fines, garantizando el principio de minimización de datos. Todos los miembros del equipo investigador firmarán compromisos de confidencialidad. Los resultados de investigación derivados usarán únicamente datos ya anonimizados, de modo que ninguna publicación científica o informe divulgativo contendrá datos personales identificables. Cualquier hallazgo relevante se comunicará siempre a nivel agregado o anonimizado.</w:t>
      </w:r>
    </w:p>
    <w:p w14:paraId="156909CC" w14:textId="77777777" w:rsidR="009F715F" w:rsidRPr="009F715F" w:rsidRDefault="009F715F" w:rsidP="0009049F">
      <w:pPr>
        <w:numPr>
          <w:ilvl w:val="0"/>
          <w:numId w:val="4"/>
        </w:numPr>
        <w:jc w:val="both"/>
      </w:pPr>
      <w:r w:rsidRPr="009F715F">
        <w:t>Almacenamiento Seguro: Los datos originales identificables permanecerán en los servidores hospitalarios ya existentes para tal fin (entornos con control de acceso y trazabilidad). Los datos anonimizados resultantes del proyecto también se almacenarán en dichos servidores, pero segregados y etiquetados claramente como “Anonimizados – aptos para investigación”. Solo el personal autorizado tendrá acceso a ellos, bajo supervisión de la Unidad de Investigación y el Departamento de Sistemas de Información.</w:t>
      </w:r>
    </w:p>
    <w:p w14:paraId="79A9844A" w14:textId="77777777" w:rsidR="009F715F" w:rsidRPr="009F715F" w:rsidRDefault="009F715F" w:rsidP="0009049F">
      <w:pPr>
        <w:jc w:val="both"/>
      </w:pPr>
      <w:r w:rsidRPr="009F715F">
        <w:t xml:space="preserve">En vista de todo lo anterior, consideramos que el proyecto cumple con las exigencias éticas y legales para su aprobación. La </w:t>
      </w:r>
      <w:proofErr w:type="spellStart"/>
      <w:r w:rsidRPr="009F715F">
        <w:t>anonimización</w:t>
      </w:r>
      <w:proofErr w:type="spellEnd"/>
      <w:r w:rsidRPr="009F715F">
        <w:t xml:space="preserve"> propuesta permitirá extraer valor de los datos clínicos históricos con impacto positivo en la investigación biomédica, sin menoscabar los derechos y la privacidad de los pacientes del hospital.</w:t>
      </w:r>
    </w:p>
    <w:p w14:paraId="7744F906" w14:textId="77777777" w:rsidR="009F715F" w:rsidRPr="009F715F" w:rsidRDefault="009F715F" w:rsidP="0009049F">
      <w:pPr>
        <w:jc w:val="both"/>
        <w:rPr>
          <w:b/>
          <w:bCs/>
        </w:rPr>
      </w:pPr>
      <w:r w:rsidRPr="009F715F">
        <w:rPr>
          <w:b/>
          <w:bCs/>
        </w:rPr>
        <w:t>Conclusiones y Solicitud de Aprobación</w:t>
      </w:r>
    </w:p>
    <w:p w14:paraId="2C125BFC" w14:textId="77777777" w:rsidR="009F715F" w:rsidRPr="009F715F" w:rsidRDefault="009F715F" w:rsidP="0009049F">
      <w:pPr>
        <w:jc w:val="both"/>
      </w:pPr>
      <w:r w:rsidRPr="009F715F">
        <w:t xml:space="preserve">En conclusión, hemos desarrollado una herramienta de </w:t>
      </w:r>
      <w:proofErr w:type="spellStart"/>
      <w:r w:rsidRPr="009F715F">
        <w:t>anonimización</w:t>
      </w:r>
      <w:proofErr w:type="spellEnd"/>
      <w:r w:rsidRPr="009F715F">
        <w:t xml:space="preserve"> automática de documentos clínicos basada en técnicas de inteligencia artificial, validada con un desempeño elevado (F1 ≈ 0,92 en detección parcial de PHI) sobre un corpus estándar. Esta herramienta proporciona un método eficaz, rápido y consistente para </w:t>
      </w:r>
      <w:proofErr w:type="spellStart"/>
      <w:r w:rsidRPr="009F715F">
        <w:t>desidentificar</w:t>
      </w:r>
      <w:proofErr w:type="spellEnd"/>
      <w:r w:rsidRPr="009F715F">
        <w:t xml:space="preserve"> historias clínicas, habilitando su uso en proyectos de investigación retrospectivos de manera segura. El uso de la herramienta dentro del Hospital La Paz permitirá crear un repositorio de datos clínicos anonimizados para investigación, cumpliendo con los requisitos de protección de datos y mitigando el obstáculo principal que suele impedir el aprovechamiento de estos recursos en proyectos científicos</w:t>
      </w:r>
      <w:hyperlink r:id="rId18" w:anchor=":~:text=mentioned%20privacy%20related%20protected%20health,Medical%20Docu%02ment%20Anonymization" w:tgtFrame="_blank" w:history="1">
        <w:r w:rsidRPr="009F715F">
          <w:rPr>
            <w:rStyle w:val="Hipervnculo"/>
          </w:rPr>
          <w:t>ceur-ws.org</w:t>
        </w:r>
      </w:hyperlink>
      <w:r w:rsidRPr="009F715F">
        <w:t>.</w:t>
      </w:r>
    </w:p>
    <w:p w14:paraId="575F8F50" w14:textId="77777777" w:rsidR="009F715F" w:rsidRPr="009F715F" w:rsidRDefault="009F715F" w:rsidP="0009049F">
      <w:pPr>
        <w:jc w:val="both"/>
      </w:pPr>
      <w:r w:rsidRPr="009F715F">
        <w:t>Se solicita al Comité de Ética de la Investigación (</w:t>
      </w:r>
      <w:proofErr w:type="spellStart"/>
      <w:r w:rsidRPr="009F715F">
        <w:t>CEIm</w:t>
      </w:r>
      <w:proofErr w:type="spellEnd"/>
      <w:r w:rsidRPr="009F715F">
        <w:t xml:space="preserve">) la aprobación de este proyecto y del uso generalizado de la mencionada herramienta en el ámbito del hospital para fines de investigación retrospectiva. Dicha aprobación nos permitirá poner en marcha el procedimiento descrito, con el compromiso de respetar escrupulosamente las medidas de seguridad y confidencialidad expuestas. Asimismo, nos comprometemos a presentar </w:t>
      </w:r>
      <w:r w:rsidRPr="009F715F">
        <w:lastRenderedPageBreak/>
        <w:t>informes de progreso y resultados al Comité, y a notificar cualquier incidencia relacionada con la protección de datos que pudiera surgir.</w:t>
      </w:r>
    </w:p>
    <w:p w14:paraId="0809D5D2" w14:textId="77777777" w:rsidR="009F715F" w:rsidRPr="009F715F" w:rsidRDefault="009F715F" w:rsidP="0009049F">
      <w:pPr>
        <w:jc w:val="both"/>
      </w:pPr>
      <w:r w:rsidRPr="009F715F">
        <w:t>Quedamos a disposición del Comité para aportar información adicional que estimen oportuna. Agradecemos de antemano la consideración de esta propuesta, confiando en que contribuirá a fomentar una investigación clínica de calidad en nuestro hospital, en beneficio último de la salud de la población.</w:t>
      </w:r>
    </w:p>
    <w:p w14:paraId="23E75150" w14:textId="29F3F4CB" w:rsidR="00EE133D" w:rsidRDefault="00EE133D"/>
    <w:sectPr w:rsidR="00EE13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013223"/>
    <w:multiLevelType w:val="multilevel"/>
    <w:tmpl w:val="2C8C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C31A9"/>
    <w:multiLevelType w:val="multilevel"/>
    <w:tmpl w:val="C058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4D7066"/>
    <w:multiLevelType w:val="multilevel"/>
    <w:tmpl w:val="B73C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C66AE7"/>
    <w:multiLevelType w:val="multilevel"/>
    <w:tmpl w:val="C412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597DF0"/>
    <w:multiLevelType w:val="multilevel"/>
    <w:tmpl w:val="53EC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821593">
    <w:abstractNumId w:val="1"/>
  </w:num>
  <w:num w:numId="2" w16cid:durableId="90904594">
    <w:abstractNumId w:val="2"/>
  </w:num>
  <w:num w:numId="3" w16cid:durableId="1772627591">
    <w:abstractNumId w:val="0"/>
  </w:num>
  <w:num w:numId="4" w16cid:durableId="1906525644">
    <w:abstractNumId w:val="3"/>
  </w:num>
  <w:num w:numId="5" w16cid:durableId="11422373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15F"/>
    <w:rsid w:val="0009049F"/>
    <w:rsid w:val="006A32F1"/>
    <w:rsid w:val="00776AD7"/>
    <w:rsid w:val="00876AFC"/>
    <w:rsid w:val="009F715F"/>
    <w:rsid w:val="00AA5797"/>
    <w:rsid w:val="00EE13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3E3B3"/>
  <w15:chartTrackingRefBased/>
  <w15:docId w15:val="{DEF47E78-B09E-4A52-A679-60A7121B3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7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7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71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71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71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71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71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71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71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71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71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71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71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71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71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71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71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715F"/>
    <w:rPr>
      <w:rFonts w:eastAsiaTheme="majorEastAsia" w:cstheme="majorBidi"/>
      <w:color w:val="272727" w:themeColor="text1" w:themeTint="D8"/>
    </w:rPr>
  </w:style>
  <w:style w:type="paragraph" w:styleId="Ttulo">
    <w:name w:val="Title"/>
    <w:basedOn w:val="Normal"/>
    <w:next w:val="Normal"/>
    <w:link w:val="TtuloCar"/>
    <w:uiPriority w:val="10"/>
    <w:qFormat/>
    <w:rsid w:val="009F7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71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71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71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715F"/>
    <w:pPr>
      <w:spacing w:before="160"/>
      <w:jc w:val="center"/>
    </w:pPr>
    <w:rPr>
      <w:i/>
      <w:iCs/>
      <w:color w:val="404040" w:themeColor="text1" w:themeTint="BF"/>
    </w:rPr>
  </w:style>
  <w:style w:type="character" w:customStyle="1" w:styleId="CitaCar">
    <w:name w:val="Cita Car"/>
    <w:basedOn w:val="Fuentedeprrafopredeter"/>
    <w:link w:val="Cita"/>
    <w:uiPriority w:val="29"/>
    <w:rsid w:val="009F715F"/>
    <w:rPr>
      <w:i/>
      <w:iCs/>
      <w:color w:val="404040" w:themeColor="text1" w:themeTint="BF"/>
    </w:rPr>
  </w:style>
  <w:style w:type="paragraph" w:styleId="Prrafodelista">
    <w:name w:val="List Paragraph"/>
    <w:basedOn w:val="Normal"/>
    <w:uiPriority w:val="34"/>
    <w:qFormat/>
    <w:rsid w:val="009F715F"/>
    <w:pPr>
      <w:ind w:left="720"/>
      <w:contextualSpacing/>
    </w:pPr>
  </w:style>
  <w:style w:type="character" w:styleId="nfasisintenso">
    <w:name w:val="Intense Emphasis"/>
    <w:basedOn w:val="Fuentedeprrafopredeter"/>
    <w:uiPriority w:val="21"/>
    <w:qFormat/>
    <w:rsid w:val="009F715F"/>
    <w:rPr>
      <w:i/>
      <w:iCs/>
      <w:color w:val="0F4761" w:themeColor="accent1" w:themeShade="BF"/>
    </w:rPr>
  </w:style>
  <w:style w:type="paragraph" w:styleId="Citadestacada">
    <w:name w:val="Intense Quote"/>
    <w:basedOn w:val="Normal"/>
    <w:next w:val="Normal"/>
    <w:link w:val="CitadestacadaCar"/>
    <w:uiPriority w:val="30"/>
    <w:qFormat/>
    <w:rsid w:val="009F7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715F"/>
    <w:rPr>
      <w:i/>
      <w:iCs/>
      <w:color w:val="0F4761" w:themeColor="accent1" w:themeShade="BF"/>
    </w:rPr>
  </w:style>
  <w:style w:type="character" w:styleId="Referenciaintensa">
    <w:name w:val="Intense Reference"/>
    <w:basedOn w:val="Fuentedeprrafopredeter"/>
    <w:uiPriority w:val="32"/>
    <w:qFormat/>
    <w:rsid w:val="009F715F"/>
    <w:rPr>
      <w:b/>
      <w:bCs/>
      <w:smallCaps/>
      <w:color w:val="0F4761" w:themeColor="accent1" w:themeShade="BF"/>
      <w:spacing w:val="5"/>
    </w:rPr>
  </w:style>
  <w:style w:type="character" w:styleId="Hipervnculo">
    <w:name w:val="Hyperlink"/>
    <w:basedOn w:val="Fuentedeprrafopredeter"/>
    <w:uiPriority w:val="99"/>
    <w:unhideWhenUsed/>
    <w:rsid w:val="009F715F"/>
    <w:rPr>
      <w:color w:val="467886" w:themeColor="hyperlink"/>
      <w:u w:val="single"/>
    </w:rPr>
  </w:style>
  <w:style w:type="character" w:styleId="Mencinsinresolver">
    <w:name w:val="Unresolved Mention"/>
    <w:basedOn w:val="Fuentedeprrafopredeter"/>
    <w:uiPriority w:val="99"/>
    <w:semiHidden/>
    <w:unhideWhenUsed/>
    <w:rsid w:val="009F715F"/>
    <w:rPr>
      <w:color w:val="605E5C"/>
      <w:shd w:val="clear" w:color="auto" w:fill="E1DFDD"/>
    </w:rPr>
  </w:style>
  <w:style w:type="paragraph" w:styleId="NormalWeb">
    <w:name w:val="Normal (Web)"/>
    <w:basedOn w:val="Normal"/>
    <w:uiPriority w:val="99"/>
    <w:semiHidden/>
    <w:unhideWhenUsed/>
    <w:rsid w:val="009F715F"/>
    <w:pPr>
      <w:spacing w:before="100" w:beforeAutospacing="1" w:after="100" w:afterAutospacing="1" w:line="240" w:lineRule="auto"/>
    </w:pPr>
    <w:rPr>
      <w:rFonts w:ascii="Times New Roman" w:eastAsiaTheme="minorEastAsia" w:hAnsi="Times New Roman" w:cs="Times New Roman"/>
      <w:kern w:val="0"/>
      <w:sz w:val="24"/>
      <w:szCs w:val="24"/>
      <w:lang w:eastAsia="es-ES"/>
      <w14:ligatures w14:val="none"/>
    </w:rPr>
  </w:style>
  <w:style w:type="character" w:styleId="Textoennegrita">
    <w:name w:val="Strong"/>
    <w:basedOn w:val="Fuentedeprrafopredeter"/>
    <w:uiPriority w:val="22"/>
    <w:qFormat/>
    <w:rsid w:val="009F715F"/>
    <w:rPr>
      <w:b/>
      <w:bCs/>
    </w:rPr>
  </w:style>
  <w:style w:type="table" w:styleId="Tabladecuadrcula4">
    <w:name w:val="Grid Table 4"/>
    <w:basedOn w:val="Tablanormal"/>
    <w:uiPriority w:val="49"/>
    <w:rsid w:val="0009049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1966282">
      <w:bodyDiv w:val="1"/>
      <w:marLeft w:val="0"/>
      <w:marRight w:val="0"/>
      <w:marTop w:val="0"/>
      <w:marBottom w:val="0"/>
      <w:divBdr>
        <w:top w:val="none" w:sz="0" w:space="0" w:color="auto"/>
        <w:left w:val="none" w:sz="0" w:space="0" w:color="auto"/>
        <w:bottom w:val="none" w:sz="0" w:space="0" w:color="auto"/>
        <w:right w:val="none" w:sz="0" w:space="0" w:color="auto"/>
      </w:divBdr>
    </w:div>
    <w:div w:id="1455175651">
      <w:bodyDiv w:val="1"/>
      <w:marLeft w:val="0"/>
      <w:marRight w:val="0"/>
      <w:marTop w:val="0"/>
      <w:marBottom w:val="0"/>
      <w:divBdr>
        <w:top w:val="none" w:sz="0" w:space="0" w:color="auto"/>
        <w:left w:val="none" w:sz="0" w:space="0" w:color="auto"/>
        <w:bottom w:val="none" w:sz="0" w:space="0" w:color="auto"/>
        <w:right w:val="none" w:sz="0" w:space="0" w:color="auto"/>
      </w:divBdr>
      <w:divsChild>
        <w:div w:id="1852184038">
          <w:marLeft w:val="0"/>
          <w:marRight w:val="0"/>
          <w:marTop w:val="0"/>
          <w:marBottom w:val="0"/>
          <w:divBdr>
            <w:top w:val="none" w:sz="0" w:space="0" w:color="auto"/>
            <w:left w:val="none" w:sz="0" w:space="0" w:color="auto"/>
            <w:bottom w:val="none" w:sz="0" w:space="0" w:color="auto"/>
            <w:right w:val="none" w:sz="0" w:space="0" w:color="auto"/>
          </w:divBdr>
          <w:divsChild>
            <w:div w:id="187965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77839">
      <w:bodyDiv w:val="1"/>
      <w:marLeft w:val="0"/>
      <w:marRight w:val="0"/>
      <w:marTop w:val="0"/>
      <w:marBottom w:val="0"/>
      <w:divBdr>
        <w:top w:val="none" w:sz="0" w:space="0" w:color="auto"/>
        <w:left w:val="none" w:sz="0" w:space="0" w:color="auto"/>
        <w:bottom w:val="none" w:sz="0" w:space="0" w:color="auto"/>
        <w:right w:val="none" w:sz="0" w:space="0" w:color="auto"/>
      </w:divBdr>
      <w:divsChild>
        <w:div w:id="316156580">
          <w:marLeft w:val="0"/>
          <w:marRight w:val="0"/>
          <w:marTop w:val="0"/>
          <w:marBottom w:val="0"/>
          <w:divBdr>
            <w:top w:val="none" w:sz="0" w:space="0" w:color="auto"/>
            <w:left w:val="none" w:sz="0" w:space="0" w:color="auto"/>
            <w:bottom w:val="none" w:sz="0" w:space="0" w:color="auto"/>
            <w:right w:val="none" w:sz="0" w:space="0" w:color="auto"/>
          </w:divBdr>
          <w:divsChild>
            <w:div w:id="69107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ur-ws.org/Vol-2421/MEDDOCAN_overview.pdf" TargetMode="External"/><Relationship Id="rId13" Type="http://schemas.openxmlformats.org/officeDocument/2006/relationships/hyperlink" Target="https://ceur-ws.org/Vol-2421/MEDDOCAN_overview.pdf" TargetMode="External"/><Relationship Id="rId18" Type="http://schemas.openxmlformats.org/officeDocument/2006/relationships/hyperlink" Target="https://ceur-ws.org/Vol-2421/MEDDOCAN_overview.pdf" TargetMode="External"/><Relationship Id="rId3" Type="http://schemas.openxmlformats.org/officeDocument/2006/relationships/settings" Target="settings.xml"/><Relationship Id="rId7" Type="http://schemas.openxmlformats.org/officeDocument/2006/relationships/hyperlink" Target="https://ceur-ws.org/Vol-2421/MEDDOCAN_overview.pdf" TargetMode="External"/><Relationship Id="rId12" Type="http://schemas.openxmlformats.org/officeDocument/2006/relationships/hyperlink" Target="https://ceur-ws.org/Vol-2421/MEDDOCAN_overview.pdf" TargetMode="External"/><Relationship Id="rId17" Type="http://schemas.openxmlformats.org/officeDocument/2006/relationships/hyperlink" Target="https://ceur-ws.org/Vol-2421/MEDDOCAN_overview.pdf" TargetMode="External"/><Relationship Id="rId2" Type="http://schemas.openxmlformats.org/officeDocument/2006/relationships/styles" Target="styles.xml"/><Relationship Id="rId16" Type="http://schemas.openxmlformats.org/officeDocument/2006/relationships/hyperlink" Target="https://ceur-ws.org/Vol-2421/MEDDOCAN_paper_1.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eur-ws.org/Vol-2421/MEDDOCAN_overview.pdf" TargetMode="External"/><Relationship Id="rId11" Type="http://schemas.openxmlformats.org/officeDocument/2006/relationships/hyperlink" Target="https://ceur-ws.org/Vol-2421/MEDDOCAN_overview.pdf" TargetMode="External"/><Relationship Id="rId5" Type="http://schemas.openxmlformats.org/officeDocument/2006/relationships/hyperlink" Target="https://ceur-ws.org/Vol-2421/MEDDOCAN_overview.pdf" TargetMode="External"/><Relationship Id="rId15" Type="http://schemas.openxmlformats.org/officeDocument/2006/relationships/hyperlink" Target="https://ceur-ws.org/Vol-2421/MEDDOCAN_overview.pdf" TargetMode="External"/><Relationship Id="rId10" Type="http://schemas.openxmlformats.org/officeDocument/2006/relationships/hyperlink" Target="https://www.bibsonomy.org/bibtex/2616669ca18ac051794c0459373696942/rerr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eur-ws.org/Vol-2421/MEDDOCAN_overview.pdf" TargetMode="External"/><Relationship Id="rId14" Type="http://schemas.openxmlformats.org/officeDocument/2006/relationships/hyperlink" Target="https://ceur-ws.org/Vol-2421/MEDDOCAN_overview.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37C6F7-F588-4B8D-B9FE-F44A597D7EB3}">
  <we:reference id="wa200007708" version="1.0.0.0" store="es-ES" storeType="OMEX"/>
  <we:alternateReferences>
    <we:reference id="wa200007708" version="1.0.0.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110</TotalTime>
  <Pages>7</Pages>
  <Words>3420</Words>
  <Characters>18816</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carballo</dc:creator>
  <cp:keywords/>
  <dc:description/>
  <cp:lastModifiedBy>cesar carballo</cp:lastModifiedBy>
  <cp:revision>1</cp:revision>
  <dcterms:created xsi:type="dcterms:W3CDTF">2025-10-12T16:17:00Z</dcterms:created>
  <dcterms:modified xsi:type="dcterms:W3CDTF">2025-10-13T19:12:00Z</dcterms:modified>
</cp:coreProperties>
</file>