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45F9B8C1" w14:textId="438DDF6A" w:rsidR="00B8774D" w:rsidRPr="00EB6DD6" w:rsidRDefault="004B7592" w:rsidP="00B8774D">
      <w:pPr>
        <w:spacing w:line="480" w:lineRule="auto"/>
        <w:ind w:firstLine="708"/>
        <w:rPr>
          <w:lang w:val="en-US"/>
        </w:rPr>
      </w:pPr>
      <w:r w:rsidRPr="004B7592">
        <w:rPr>
          <w:lang w:val="en-US"/>
        </w:rPr>
        <w:t xml:space="preserve">Central to this debate is the Bipolar Continuum Hypothesis (Neff, 2022), which posits that compassionate self-responding (CS) and uncompassionate self-responding (UCS) operate along a continuum, rather than being entirely distinct constructs. Within this dynamic framework, self-kindness, common humanity, and mindfulness characterize the compassionate end, while self-judgment, isolation, and over-identification represent the uncompassionate end. Importantly, Neff (2022, 2023) describes self-compassion as a multidimensional and dynamic system in which CS and UCS interact synergistically. Psychometric analyses support this view, indicating that the Self-Compassion Scale captures both a global self-compassion factor and six specific subfactors (Neff et al., 2017, 2021). </w:t>
      </w:r>
      <w:r w:rsidR="00B8774D" w:rsidRPr="00EB6DD6">
        <w:rPr>
          <w:lang w:val="en-US"/>
        </w:rPr>
        <w:t>Consequently, Neff (2022) contends that viewing CS and UCS as separate constructs constitutes a conceptual fallacy and advocates for using the Self-Compassion Scale total score as a unified measure.</w:t>
      </w:r>
    </w:p>
    <w:p w14:paraId="0662C124" w14:textId="68D02BB3" w:rsidR="00FF631E" w:rsidRPr="00EB6DD6" w:rsidRDefault="00FF631E" w:rsidP="00B8774D">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xml:space="preserve">, 2017). This perspective is supported by studies indicating that UCS has stronger associations with psychopathology than </w:t>
      </w:r>
      <w:r w:rsidRPr="00EB6DD6">
        <w:rPr>
          <w:lang w:val="en-US"/>
        </w:rPr>
        <w:lastRenderedPageBreak/>
        <w:t>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04EE7C68" w14:textId="20B81FFF" w:rsidR="00FB15A2" w:rsidRPr="00FB15A2" w:rsidRDefault="00FB15A2" w:rsidP="00FB15A2">
      <w:pPr>
        <w:spacing w:line="480" w:lineRule="auto"/>
        <w:ind w:firstLine="708"/>
        <w:rPr>
          <w:color w:val="000000" w:themeColor="text1"/>
          <w:lang w:val="en-US"/>
        </w:rPr>
      </w:pPr>
      <w:r w:rsidRPr="00FB15A2">
        <w:rPr>
          <w:color w:val="000000" w:themeColor="text1"/>
          <w:lang w:val="en-US"/>
        </w:rPr>
        <w:t xml:space="preserve">Despite progress in understanding self-compassion's temporal dynamics and variability, methodological challenges remain. Previous studies have often used ad hoc measures, raising concerns about the validity of state-level assessments. Additionally, most studies have been limited to short time frames (e.g., seven </w:t>
      </w:r>
      <w:proofErr w:type="gramStart"/>
      <w:r w:rsidRPr="00FB15A2">
        <w:rPr>
          <w:color w:val="000000" w:themeColor="text1"/>
          <w:lang w:val="en-US"/>
        </w:rPr>
        <w:t>days</w:t>
      </w:r>
      <w:r w:rsidR="00BC2F8D">
        <w:rPr>
          <w:color w:val="000000" w:themeColor="text1"/>
          <w:lang w:val="en-US"/>
        </w:rPr>
        <w:t>;</w:t>
      </w:r>
      <w:proofErr w:type="gramEnd"/>
      <w:r w:rsidR="00BC2F8D">
        <w:rPr>
          <w:color w:val="000000" w:themeColor="text1"/>
          <w:lang w:val="en-US"/>
        </w:rPr>
        <w:t xml:space="preserve"> </w:t>
      </w:r>
      <w:r w:rsidR="00BC2F8D" w:rsidRPr="00BC2F8D">
        <w:rPr>
          <w:lang w:val="en-US"/>
        </w:rPr>
        <w:t xml:space="preserve">e.g., Mey et al., 2023; </w:t>
      </w:r>
      <w:proofErr w:type="spellStart"/>
      <w:r w:rsidR="00BC2F8D" w:rsidRPr="00BC2F8D">
        <w:rPr>
          <w:lang w:val="en-US"/>
        </w:rPr>
        <w:t>Sahdra</w:t>
      </w:r>
      <w:proofErr w:type="spellEnd"/>
      <w:r w:rsidR="00BC2F8D" w:rsidRPr="00BC2F8D">
        <w:rPr>
          <w:lang w:val="en-US"/>
        </w:rPr>
        <w:t xml:space="preserve"> et al., 2023</w:t>
      </w:r>
      <w:r w:rsidRPr="00FB15A2">
        <w:rPr>
          <w:color w:val="000000" w:themeColor="text1"/>
          <w:lang w:val="en-US"/>
        </w:rPr>
        <w:t>), which may not capture the full complexity of state self-compassion. Randomly selected time windows may also miss key life events that could influence self-compassion dynamics.</w:t>
      </w:r>
    </w:p>
    <w:p w14:paraId="1A63A025" w14:textId="24328211" w:rsidR="00FB15A2" w:rsidRPr="00FB15A2" w:rsidRDefault="00FB15A2" w:rsidP="00FB15A2">
      <w:pPr>
        <w:spacing w:line="480" w:lineRule="auto"/>
        <w:ind w:firstLine="708"/>
        <w:rPr>
          <w:color w:val="000000" w:themeColor="text1"/>
          <w:lang w:val="en-US"/>
        </w:rPr>
      </w:pPr>
      <w:r w:rsidRPr="00FB15A2">
        <w:rPr>
          <w:color w:val="000000" w:themeColor="text1"/>
          <w:lang w:val="en-US"/>
        </w:rPr>
        <w:t>Our study addresses these limitations with a three-month EMA using the validated State Self-Compassion Scale (Neff, 2022), marking the first examination of the Bipolar Continuum Hypothesis in an extended EMA framework. By capturing data at multiple levels—moments, days, and individuals—this design offers a detailed, naturalistic exploration of state self-compassion. We also investigate how significant life events, such as academic exams, affect self-compassion dynamics in university students.</w:t>
      </w:r>
    </w:p>
    <w:p w14:paraId="21280E0E" w14:textId="77777777" w:rsidR="008425C9" w:rsidRDefault="00FB15A2" w:rsidP="008425C9">
      <w:pPr>
        <w:spacing w:line="480" w:lineRule="auto"/>
        <w:ind w:firstLine="708"/>
        <w:rPr>
          <w:color w:val="000000" w:themeColor="text1"/>
          <w:lang w:val="en-US"/>
        </w:rPr>
      </w:pPr>
      <w:r w:rsidRPr="00FB15A2">
        <w:rPr>
          <w:color w:val="000000" w:themeColor="text1"/>
          <w:lang w:val="en-US"/>
        </w:rPr>
        <w:lastRenderedPageBreak/>
        <w:t>The study design, which involves one day of notifications per week with five repetitions, contrasts with more intensive designs using five notifications daily for a week. The longer time frame increases variability in state self-compassion, capturing changes related to significant life events. Unlike a randomly chosen week, our design includes two academic exams, allowing comparison of self-compassion near and far from these events. Finally, the reduced notification frequency minimizes participant fatigue</w:t>
      </w:r>
      <w:r>
        <w:rPr>
          <w:color w:val="000000" w:themeColor="text1"/>
          <w:lang w:val="en-US"/>
        </w:rPr>
        <w:t xml:space="preserve"> (</w:t>
      </w:r>
      <w:r w:rsidRPr="00FB15A2">
        <w:rPr>
          <w:color w:val="000000" w:themeColor="text1"/>
          <w:lang w:val="en-US"/>
        </w:rPr>
        <w:t>Shiffman,</w:t>
      </w:r>
      <w:r>
        <w:rPr>
          <w:color w:val="000000" w:themeColor="text1"/>
          <w:lang w:val="en-US"/>
        </w:rPr>
        <w:t xml:space="preserve"> </w:t>
      </w:r>
      <w:r w:rsidRPr="00FB15A2">
        <w:rPr>
          <w:color w:val="000000" w:themeColor="text1"/>
          <w:lang w:val="en-US"/>
        </w:rPr>
        <w:t>Stone, and Hufford 2008</w:t>
      </w:r>
      <w:r>
        <w:rPr>
          <w:color w:val="000000" w:themeColor="text1"/>
          <w:lang w:val="en-US"/>
        </w:rPr>
        <w:t>)</w:t>
      </w:r>
      <w:r w:rsidRPr="00FB15A2">
        <w:rPr>
          <w:color w:val="000000" w:themeColor="text1"/>
          <w:lang w:val="en-US"/>
        </w:rPr>
        <w:t>, improving data quality and engagement.</w:t>
      </w:r>
    </w:p>
    <w:p w14:paraId="721B8636" w14:textId="79F09DDA" w:rsidR="00763522" w:rsidRPr="008425C9" w:rsidRDefault="008425C9" w:rsidP="008425C9">
      <w:pPr>
        <w:spacing w:line="480" w:lineRule="auto"/>
        <w:ind w:firstLine="708"/>
        <w:rPr>
          <w:color w:val="000000" w:themeColor="text1"/>
          <w:lang w:val="en-US"/>
        </w:rPr>
      </w:pPr>
      <w:r w:rsidRPr="008425C9">
        <w:rPr>
          <w:lang w:val="en-US"/>
        </w:rPr>
        <w:t>This research aims to empirically evaluate the Bipolar Continuum Hypothesis by investigating how situational factors influence the interplay between the CS and UCS components of state self-compassion. According to the Bipolar Continuum Hypothesis, self-compassion operates as a bipolar continuum, with CS and UCS forming distinct but interrelated poles of the same construct. This continuum allows for movement in either direction, such that increases in CS naturally correspond to decreases in UCS. These interactions reflect the complexity of self-compassion as a construct, wherein different aspects of compassionate and uncompassionate responding may respond asymmetrically to contextual factors while remaining interdependent.</w:t>
      </w:r>
      <w:r w:rsidRPr="008425C9">
        <w:rPr>
          <w:lang w:val="en-US"/>
        </w:rPr>
        <w:t xml:space="preserve"> </w:t>
      </w:r>
      <w:r w:rsidRPr="008425C9">
        <w:rPr>
          <w:lang w:val="en-US"/>
        </w:rPr>
        <w:t>A rigorous test of this hypothesis requires examining whether changes in CS and UCS align with the predicted dynamics of a bipolar continuum, and whether these patterns are consistently observed across individuals.</w:t>
      </w:r>
    </w:p>
    <w:p w14:paraId="69C4B0CF" w14:textId="448F50B6" w:rsidR="00EA4965" w:rsidRDefault="00EA4965" w:rsidP="00EA4965">
      <w:pPr>
        <w:spacing w:line="480" w:lineRule="auto"/>
        <w:ind w:firstLine="708"/>
        <w:rPr>
          <w:lang w:val="en-US"/>
        </w:rPr>
      </w:pPr>
      <w:bookmarkStart w:id="1" w:name="X626c7679354204bf92f7c687b21144357428a58"/>
      <w:bookmarkEnd w:id="0"/>
      <w:r w:rsidRPr="00EB6DD6">
        <w:rPr>
          <w:lang w:val="en-US"/>
        </w:rPr>
        <w:t xml:space="preserve">Drawing on Ferrari et al.'s (2022) conceptualization of self-compassion as a dynamic process, we propose </w:t>
      </w:r>
      <w:r w:rsidR="005B19EC">
        <w:rPr>
          <w:lang w:val="en-US"/>
        </w:rPr>
        <w:t>four</w:t>
      </w:r>
      <w:r w:rsidRPr="00EB6DD6">
        <w:rPr>
          <w:lang w:val="en-US"/>
        </w:rPr>
        <w:t xml:space="preserve"> specific hypotheses</w:t>
      </w:r>
      <w:r>
        <w:rPr>
          <w:lang w:val="en-US"/>
        </w:rPr>
        <w:t>.</w:t>
      </w:r>
    </w:p>
    <w:p w14:paraId="39BFE285" w14:textId="77777777" w:rsidR="00EA4965" w:rsidRPr="00AF3F84" w:rsidRDefault="00EA4965" w:rsidP="005B19EC">
      <w:pPr>
        <w:spacing w:line="480" w:lineRule="auto"/>
        <w:ind w:firstLine="708"/>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w:t>
      </w:r>
      <w:r w:rsidRPr="00AF3F84">
        <w:rPr>
          <w:lang w:val="en-US"/>
        </w:rPr>
        <w:lastRenderedPageBreak/>
        <w:t>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5B19EC">
      <w:pPr>
        <w:spacing w:line="480" w:lineRule="auto"/>
        <w:ind w:firstLine="708"/>
        <w:rPr>
          <w:lang w:val="en-US"/>
        </w:rPr>
      </w:pPr>
      <w:r w:rsidRPr="006C6E2B">
        <w:rPr>
          <w:b/>
          <w:bCs/>
          <w:lang w:val="en-US"/>
        </w:rPr>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5B19EC">
      <w:pPr>
        <w:spacing w:line="480" w:lineRule="auto"/>
        <w:ind w:firstLine="708"/>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w:t>
      </w:r>
      <w:r w:rsidRPr="003351CF">
        <w:rPr>
          <w:lang w:val="en-US"/>
        </w:rPr>
        <w:lastRenderedPageBreak/>
        <w:t xml:space="preserve">(high vs. low). According to the Bipolar Continuum Hypothesis (BCH), the relationship between CS and UCS should remain stable regardless of changes in emotional arousal. </w:t>
      </w:r>
    </w:p>
    <w:p w14:paraId="03D417CE" w14:textId="77777777" w:rsidR="00EA4965" w:rsidRDefault="00EA4965" w:rsidP="005B19EC">
      <w:pPr>
        <w:spacing w:line="480" w:lineRule="auto"/>
        <w:ind w:firstLine="708"/>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3CCD1A52" w:rsidR="00EA4965" w:rsidRDefault="00EA4965" w:rsidP="00EA4965">
      <w:pPr>
        <w:pStyle w:val="NormalWeb"/>
        <w:spacing w:line="480" w:lineRule="auto"/>
        <w:ind w:firstLine="720"/>
        <w:rPr>
          <w:lang w:val="en-US"/>
        </w:rPr>
      </w:pPr>
      <w:r w:rsidRPr="00032366">
        <w:rPr>
          <w:lang w:val="en-US"/>
        </w:rPr>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 xml:space="preserve">To test these hypotheses, we conducted two EMA studies. Study 1 examined the associations between immediate emotional states, event unpleasantness, and the components of </w:t>
      </w:r>
      <w:r w:rsidRPr="00EB6DD6">
        <w:rPr>
          <w:lang w:val="en-US"/>
        </w:rPr>
        <w:lastRenderedPageBreak/>
        <w:t>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-Gainey et al., 2023; Xie, 2023) – a key mindfulness process that allows for observing thoughts and emotions without attachment – to explore its distinct effects on CS and UCS. This approach introduces a novel dimension to testing the Bipolar Continuum Hypothesis by examining whether decentering differentially influences the two components.</w:t>
      </w:r>
    </w:p>
    <w:p w14:paraId="1B1F90D3" w14:textId="77777777" w:rsidR="00AF1A20" w:rsidRDefault="00EA4965" w:rsidP="00AF1A20">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3E6CEBDA" w14:textId="7E4AEAD3"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lastRenderedPageBreak/>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2D3FB929"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for Compassionate Self [CS] and one for Uncompassionate Self [UCS]), ensuring at least 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 xml:space="preserve">As no validated Italian version of the SSCS-SF was available at the time, the scale was translated into Italian by two independent researchers. Back-translation into English was </w:t>
      </w:r>
      <w:r w:rsidRPr="00874ADE">
        <w:rPr>
          <w:lang w:val="en-US"/>
        </w:rPr>
        <w:lastRenderedPageBreak/>
        <w:t>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w:t>
      </w:r>
      <w:r w:rsidRPr="007B4AE6">
        <w:rPr>
          <w:lang w:val="en-US"/>
        </w:rPr>
        <w:lastRenderedPageBreak/>
        <w:t xml:space="preserve">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54A25014" w14:textId="77777777" w:rsidR="0007003E" w:rsidRDefault="00E30BBD" w:rsidP="0007003E">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lastRenderedPageBreak/>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P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18716805" w14:textId="65B07DD4" w:rsidR="00403C79" w:rsidRDefault="00403C79" w:rsidP="00403C79">
      <w:pPr>
        <w:pStyle w:val="FirstParagraph"/>
        <w:rPr>
          <w:rFonts w:cs="Times New Roman"/>
        </w:rPr>
      </w:pPr>
      <w:r w:rsidRPr="00403C79">
        <w:rPr>
          <w:rFonts w:cs="Times New Roman"/>
        </w:rPr>
        <w:lastRenderedPageBreak/>
        <w:t xml:space="preserve">These results are </w:t>
      </w:r>
      <w:r>
        <w:rPr>
          <w:rFonts w:cs="Times New Roman"/>
        </w:rPr>
        <w:t>preliminary</w:t>
      </w:r>
      <w:r w:rsidRPr="00403C79">
        <w:rPr>
          <w:rFonts w:cs="Times New Roman"/>
        </w:rPr>
        <w:t xml:space="preserve"> for testing the hypotheses of the study. High between-subject reliability supports </w:t>
      </w:r>
      <w:r w:rsidRPr="00403C79">
        <w:rPr>
          <w:rFonts w:cs="Times New Roman"/>
          <w:b/>
          <w:bCs/>
        </w:rPr>
        <w:t>H1</w:t>
      </w:r>
      <w:r w:rsidRPr="00403C79">
        <w:rPr>
          <w:rFonts w:cs="Times New Roman"/>
        </w:rPr>
        <w:t xml:space="preserve"> by validating the scale’s ability to differentiate stable trait-level self-compassion across individuals. Meanwhile, the moderate within-subject reliability highlights the dynamic state-level fluctuations that align with the Bipolar Continuum Hypothesis (</w:t>
      </w:r>
      <w:r w:rsidRPr="00403C79">
        <w:rPr>
          <w:rFonts w:cs="Times New Roman"/>
          <w:b/>
          <w:bCs/>
        </w:rPr>
        <w:t>H3</w:t>
      </w:r>
      <w:r w:rsidRPr="00403C79">
        <w:rPr>
          <w:rFonts w:cs="Times New Roman"/>
        </w:rPr>
        <w:t>), where contextual factors are expected to drive moment-to-moment changes in CS and UCS. Moreover, these fluctuations provide the necessary basis for examining the contextual predictors of self-compassion dynamics (</w:t>
      </w:r>
      <w:r w:rsidRPr="00403C79">
        <w:rPr>
          <w:rFonts w:cs="Times New Roman"/>
          <w:b/>
          <w:bCs/>
        </w:rPr>
        <w:t>H2</w:t>
      </w:r>
      <w:r w:rsidRPr="00403C79">
        <w:rPr>
          <w:rFonts w:cs="Times New Roman"/>
        </w:rPr>
        <w:t>) and evaluating the stability of the CS-UCS relationship across emotional arousal levels (</w:t>
      </w:r>
      <w:r w:rsidRPr="00403C79">
        <w:rPr>
          <w:rFonts w:cs="Times New Roman"/>
          <w:b/>
          <w:bCs/>
        </w:rPr>
        <w:t>H4</w:t>
      </w:r>
      <w:r w:rsidRPr="00403C79">
        <w:rPr>
          <w:rFonts w:cs="Times New Roman"/>
        </w:rPr>
        <w:t>).</w:t>
      </w:r>
    </w:p>
    <w:p w14:paraId="12B18DA8" w14:textId="626A436E"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xml:space="preserve">: Correlations Between the CS and UCS Components. </w:t>
      </w:r>
      <w:r w:rsidRPr="0093087A">
        <w:rPr>
          <w:rFonts w:cs="Times New Roman"/>
        </w:rPr>
        <w:t xml:space="preserve">This analysis evaluates the relationship between the components of </w:t>
      </w:r>
      <w:r>
        <w:rPr>
          <w:rFonts w:cs="Times New Roman"/>
        </w:rPr>
        <w:t xml:space="preserve">state </w:t>
      </w:r>
      <w:r w:rsidRPr="0093087A">
        <w:rPr>
          <w:rFonts w:cs="Times New Roman"/>
        </w:rPr>
        <w:t xml:space="preserve">self-compassion (CS and UCS) at both trait and state levels, providing </w:t>
      </w:r>
      <w:r>
        <w:rPr>
          <w:rFonts w:cs="Times New Roman"/>
        </w:rPr>
        <w:t xml:space="preserve">a </w:t>
      </w:r>
      <w:r w:rsidRPr="0093087A">
        <w:rPr>
          <w:rFonts w:cs="Times New Roman"/>
        </w:rPr>
        <w:t xml:space="preserve">preliminary </w:t>
      </w:r>
      <w:r>
        <w:rPr>
          <w:rFonts w:cs="Times New Roman"/>
        </w:rPr>
        <w:t>test</w:t>
      </w:r>
      <w:r w:rsidRPr="0093087A">
        <w:rPr>
          <w:rFonts w:cs="Times New Roman"/>
        </w:rPr>
        <w:t xml:space="preserve"> for the Bipolar Continuum Hypothesis and informing subsequent tests of the study hypotheses.</w:t>
      </w:r>
      <w:r>
        <w:rPr>
          <w:rFonts w:cs="Times New Roman"/>
        </w:rPr>
        <w:t xml:space="preserve"> </w:t>
      </w:r>
      <w:r w:rsidRPr="0093087A">
        <w:rPr>
          <w:rFonts w:cs="Times New Roman"/>
        </w:rPr>
        <w:t xml:space="preserve">At the trait level, a robust </w:t>
      </w:r>
      <w:r w:rsidRPr="0093087A">
        <w:rPr>
          <w:rFonts w:cs="Times New Roman"/>
          <w:i/>
          <w:iCs/>
        </w:rPr>
        <w:t>t</w:t>
      </w:r>
      <w:r w:rsidRPr="0093087A">
        <w:rPr>
          <w:rFonts w:cs="Times New Roman"/>
        </w:rPr>
        <w:t xml:space="preserve">-distribution-based approach revealed a strongly negative correlation between CS and UCS (r = -0.66; 89% CI: [-0.73, -0.60]). At the state level, a multilevel analysis accounting for the nested data structure (measurements within days and days within participants) indicated a moderately negative correlation (r = -0.48; 89% CI: [-0.49, -0.47]). However, the lagged correlation between state CS at a given time point and state UCS at the immediately preceding time point was considerably weaker (r = -0.10; 89% CI: [-0.12, -0.08]).  </w:t>
      </w:r>
    </w:p>
    <w:p w14:paraId="05F47696" w14:textId="235393C1"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Pr="0093087A">
        <w:rPr>
          <w:rFonts w:cs="Times New Roman"/>
        </w:rPr>
        <w:t>, which posits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This aligns with </w:t>
      </w:r>
      <w:r w:rsidRPr="00FE765F">
        <w:rPr>
          <w:rFonts w:cs="Times New Roman"/>
          <w:b/>
          <w:bCs/>
        </w:rPr>
        <w:t>H3</w:t>
      </w:r>
      <w:r w:rsidRPr="0093087A">
        <w:rPr>
          <w:rFonts w:cs="Times New Roman"/>
        </w:rPr>
        <w:t xml:space="preserve">, which predicts </w:t>
      </w:r>
      <w:r w:rsidRPr="0093087A">
        <w:rPr>
          <w:rFonts w:cs="Times New Roman"/>
        </w:rPr>
        <w:lastRenderedPageBreak/>
        <w:t xml:space="preserve">that emotionally salient events may </w:t>
      </w:r>
      <w:r w:rsidR="00FE765F">
        <w:rPr>
          <w:rFonts w:cs="Times New Roman"/>
        </w:rPr>
        <w:t>modulate</w:t>
      </w:r>
      <w:r w:rsidRPr="0093087A">
        <w:rPr>
          <w:rFonts w:cs="Times New Roman"/>
        </w:rPr>
        <w:t xml:space="preserve"> the bipolar relationship by activating self-regulatory mechanisms.  Taken together, these results underscore the need to investigate the role of situational moderators (e.g., momentary 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t>
      </w:r>
      <w:r>
        <w:lastRenderedPageBreak/>
        <w:t xml:space="preserve">While event unpleasantness had some positive associations, its effects were minor compared to the dominant role of negative affect.  </w:t>
      </w:r>
    </w:p>
    <w:p w14:paraId="7BBCE350" w14:textId="67D1039D" w:rsidR="00834C48" w:rsidRDefault="00525C16" w:rsidP="00834C48">
      <w:pPr>
        <w:pStyle w:val="BodyText"/>
      </w:pPr>
      <w:r>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2415DD25"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H3</w:t>
      </w:r>
      <w:r>
        <w:t>, suggesting that state self-compassion is highly responsive to situational demands and fluctuates adaptively, particularly in the presence of heightened negative affect. Contextual predictors (</w:t>
      </w:r>
      <w:r w:rsidRPr="00834C48">
        <w:rPr>
          <w:b/>
          <w:bCs/>
        </w:rPr>
        <w:t>H2</w:t>
      </w:r>
      <w:r>
        <w:t>)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11A10210" w14:textId="7CCCD3F0" w:rsidR="001D5ED6" w:rsidRPr="00EB6DD6" w:rsidRDefault="00B547CD" w:rsidP="00EB6DD6">
      <w:pPr>
        <w:pStyle w:val="BodyText"/>
        <w:rPr>
          <w:rFonts w:cs="Times New Roman"/>
          <w:bCs/>
        </w:rPr>
      </w:pPr>
      <w:r w:rsidRPr="00EB6DD6">
        <w:rPr>
          <w:rFonts w:cs="Times New Roman"/>
          <w:bCs/>
        </w:rPr>
        <w:lastRenderedPageBreak/>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9DA512C" w14:textId="77777777" w:rsidR="002C2F26" w:rsidRDefault="00D9669A" w:rsidP="002C2F26">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306C67E4" w:rsidR="00D9669A" w:rsidRPr="00D9669A" w:rsidRDefault="00A31E2A" w:rsidP="002C2F26">
      <w:pPr>
        <w:pStyle w:val="BodyText"/>
        <w:rPr>
          <w:rFonts w:cs="Times New Roman"/>
          <w:b/>
          <w:bCs/>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 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w:t>
      </w:r>
      <w:r w:rsidRPr="00D9669A">
        <w:lastRenderedPageBreak/>
        <w:t xml:space="preserve">(pleasant/unpleasant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3F5FCD20"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 xml:space="preserve">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w:t>
      </w:r>
      <w:r w:rsidRPr="006231A2">
        <w:rPr>
          <w:rFonts w:cs="Times New Roman"/>
        </w:rPr>
        <w:lastRenderedPageBreak/>
        <w:t>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lastRenderedPageBreak/>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w:t>
      </w:r>
      <w:r w:rsidR="009F3459" w:rsidRPr="009F3459">
        <w:rPr>
          <w:rFonts w:cs="Times New Roman"/>
        </w:rPr>
        <w:lastRenderedPageBreak/>
        <w:t xml:space="preserve">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w:t>
      </w:r>
      <w:r w:rsidRPr="00FA443F">
        <w:rPr>
          <w:rFonts w:cs="Times New Roman"/>
        </w:rPr>
        <w:lastRenderedPageBreak/>
        <w:t>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lastRenderedPageBreak/>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lastRenderedPageBreak/>
        <w:t xml:space="preserve">Multilevel Dimensionality Analysis  </w:t>
      </w:r>
    </w:p>
    <w:p w14:paraId="332D37A6" w14:textId="68BCA3C2" w:rsidR="00E94881" w:rsidRDefault="000577D2" w:rsidP="00E94881">
      <w:pPr>
        <w:spacing w:before="100" w:beforeAutospacing="1" w:after="100" w:afterAutospacing="1" w:line="480" w:lineRule="auto"/>
        <w:ind w:firstLine="720"/>
        <w:rPr>
          <w:lang w:val="en-US"/>
        </w:rPr>
      </w:pPr>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sidR="00A747B8">
        <w:rPr>
          <w:lang w:val="en-US"/>
        </w:rPr>
        <w:t>using</w:t>
      </w:r>
      <w:r w:rsidRPr="000577D2">
        <w:rPr>
          <w:lang w:val="en-US"/>
        </w:rPr>
        <w:t xml:space="preserve"> multilevel confirmatory factor analysis (</w:t>
      </w:r>
      <w:r w:rsidR="00A747B8" w:rsidRPr="00A747B8">
        <w:rPr>
          <w:b/>
          <w:bCs/>
          <w:lang w:val="en-US"/>
        </w:rPr>
        <w:t>H1</w:t>
      </w:r>
      <w:r w:rsidR="00A747B8">
        <w:rPr>
          <w:lang w:val="en-US"/>
        </w:rPr>
        <w:t>)</w:t>
      </w:r>
      <w:r w:rsidR="00A747B8" w:rsidRPr="00A747B8">
        <w:rPr>
          <w:lang w:val="en-US"/>
        </w:rPr>
        <w:t xml:space="preserve"> applied to the combined datasets from both studies. </w:t>
      </w:r>
      <w:r w:rsidR="004C67E7" w:rsidRPr="004C67E7">
        <w:rPr>
          <w:lang w:val="en-US"/>
        </w:rPr>
        <w:t>Combining these datasets provided a larger sample, allowing for more precise parameter estimates in confirmatory factor analyses.</w:t>
      </w:r>
      <w:r w:rsidR="004C67E7">
        <w:rPr>
          <w:lang w:val="en-US"/>
        </w:rPr>
        <w:t xml:space="preserve">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2FCD7EE9" w14:textId="60C9557E" w:rsidR="00AD3D38" w:rsidRPr="00AD3D38" w:rsidRDefault="00755488" w:rsidP="00AD3D38">
      <w:pPr>
        <w:spacing w:before="100" w:beforeAutospacing="1" w:after="100" w:afterAutospacing="1" w:line="480" w:lineRule="auto"/>
        <w:ind w:firstLine="720"/>
        <w:rPr>
          <w:lang w:val="en-US"/>
        </w:rPr>
      </w:pPr>
      <w:r w:rsidRPr="00755488">
        <w:rPr>
          <w:b/>
          <w:bCs/>
          <w:lang w:val="en-US"/>
        </w:rPr>
        <w:t xml:space="preserve">Results. </w:t>
      </w:r>
      <w:r w:rsidR="00AD3D38" w:rsidRPr="00AD3D38">
        <w:rPr>
          <w:lang w:val="en-US"/>
        </w:rPr>
        <w:t>The Two-Factor Model fit better than the One-Factor Model</w:t>
      </w:r>
      <w:r w:rsidR="00AD3D38">
        <w:rPr>
          <w:lang w:val="en-US"/>
        </w:rPr>
        <w:t xml:space="preserve"> </w:t>
      </w:r>
      <w:r w:rsidR="00AD3D38" w:rsidRPr="00AD3D38">
        <w:rPr>
          <w:lang w:val="en-US"/>
        </w:rPr>
        <w:t xml:space="preserve">(LRT = 1068.792, </w:t>
      </w:r>
      <w:proofErr w:type="spellStart"/>
      <w:r w:rsidR="00AD3D38" w:rsidRPr="00A314C6">
        <w:rPr>
          <w:i/>
          <w:iCs/>
          <w:lang w:val="en-US"/>
        </w:rPr>
        <w:t>df</w:t>
      </w:r>
      <w:proofErr w:type="spellEnd"/>
      <w:r w:rsidR="00AD3D38" w:rsidRPr="00AD3D38">
        <w:rPr>
          <w:lang w:val="en-US"/>
        </w:rPr>
        <w:t xml:space="preserve"> = 5, </w:t>
      </w:r>
      <w:r w:rsidR="00AD3D38" w:rsidRPr="00A314C6">
        <w:rPr>
          <w:i/>
          <w:iCs/>
          <w:lang w:val="en-US"/>
        </w:rPr>
        <w:t>p</w:t>
      </w:r>
      <w:r w:rsidR="00AD3D38" w:rsidRPr="00AD3D38">
        <w:rPr>
          <w:lang w:val="en-US"/>
        </w:rPr>
        <w:t xml:space="preserve"> &lt; 0.001), supporting distinct CS and UCS dimensions, while the Bifactor Model demonstrated an even better fit</w:t>
      </w:r>
      <w:r w:rsidR="00AD3D38">
        <w:rPr>
          <w:lang w:val="en-US"/>
        </w:rPr>
        <w:t xml:space="preserve"> </w:t>
      </w:r>
      <w:r w:rsidR="00AD3D38" w:rsidRPr="00AD3D38">
        <w:rPr>
          <w:lang w:val="en-US"/>
        </w:rPr>
        <w:t xml:space="preserve">(LRT = 506.656, </w:t>
      </w:r>
      <w:proofErr w:type="spellStart"/>
      <w:r w:rsidR="00AD3D38" w:rsidRPr="00A314C6">
        <w:rPr>
          <w:i/>
          <w:iCs/>
          <w:lang w:val="en-US"/>
        </w:rPr>
        <w:t>df</w:t>
      </w:r>
      <w:proofErr w:type="spellEnd"/>
      <w:r w:rsidR="00AD3D38" w:rsidRPr="00AD3D38">
        <w:rPr>
          <w:lang w:val="en-US"/>
        </w:rPr>
        <w:t xml:space="preserve"> = 17, </w:t>
      </w:r>
      <w:r w:rsidR="00AD3D38" w:rsidRPr="00A314C6">
        <w:rPr>
          <w:i/>
          <w:iCs/>
          <w:lang w:val="en-US"/>
        </w:rPr>
        <w:t>p</w:t>
      </w:r>
      <w:r w:rsidR="00AD3D38" w:rsidRPr="00AD3D38">
        <w:rPr>
          <w:lang w:val="en-US"/>
        </w:rPr>
        <w:t xml:space="preserve"> &lt; 0.001). The Bifactor Model identified a robust general factor—particularly at the between-subject level—indicating that most items reflect a unidimensional construct. UCS-specific items captured unique variance, whereas CS-specific factors showed weaker loadings, underscoring the prominence of a general factor and the unique role of UCS items in explaining individual differences.</w:t>
      </w:r>
    </w:p>
    <w:p w14:paraId="53AD402F" w14:textId="16BA2657" w:rsidR="00AD3D38" w:rsidRPr="00AD3D38" w:rsidRDefault="00AD3D38" w:rsidP="00AD3D38">
      <w:pPr>
        <w:spacing w:before="100" w:beforeAutospacing="1" w:after="100" w:afterAutospacing="1" w:line="480" w:lineRule="auto"/>
        <w:ind w:firstLine="720"/>
        <w:rPr>
          <w:lang w:val="en-US"/>
        </w:rPr>
      </w:pPr>
      <w:r w:rsidRPr="00AD3D38">
        <w:rPr>
          <w:lang w:val="en-US"/>
        </w:rPr>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ω_</w:t>
      </w:r>
      <w:proofErr w:type="gramStart"/>
      <w:r w:rsidRPr="00AD3D38">
        <w:rPr>
          <w:lang w:val="en-US"/>
        </w:rPr>
        <w:t>h,gen</w:t>
      </w:r>
      <w:proofErr w:type="gramEnd"/>
      <w:r w:rsidRPr="00AD3D38">
        <w:rPr>
          <w:lang w:val="en-US"/>
        </w:rPr>
        <w:t>_w</w:t>
      </w:r>
      <w:proofErr w:type="spellEnd"/>
      <w:r w:rsidRPr="00AD3D38">
        <w:rPr>
          <w:lang w:val="en-US"/>
        </w:rPr>
        <w:t xml:space="preserve"> = 0.26, </w:t>
      </w:r>
      <w:proofErr w:type="spellStart"/>
      <w:r w:rsidRPr="00AD3D38">
        <w:rPr>
          <w:lang w:val="en-US"/>
        </w:rPr>
        <w:t>ω_h,</w:t>
      </w:r>
      <w:r>
        <w:rPr>
          <w:lang w:val="en-US"/>
        </w:rPr>
        <w:t>cs</w:t>
      </w:r>
      <w:r w:rsidRPr="00AD3D38">
        <w:rPr>
          <w:lang w:val="en-US"/>
        </w:rPr>
        <w:t>_w</w:t>
      </w:r>
      <w:proofErr w:type="spellEnd"/>
      <w:r w:rsidRPr="00AD3D38">
        <w:rPr>
          <w:lang w:val="en-US"/>
        </w:rPr>
        <w:t xml:space="preserve"> = 0.10, </w:t>
      </w:r>
      <w:proofErr w:type="spellStart"/>
      <w:r w:rsidRPr="00AD3D38">
        <w:rPr>
          <w:lang w:val="en-US"/>
        </w:rPr>
        <w:t>ω_h,</w:t>
      </w:r>
      <w:r>
        <w:rPr>
          <w:lang w:val="en-US"/>
        </w:rPr>
        <w:t>ucs</w:t>
      </w:r>
      <w:r w:rsidRPr="00AD3D38">
        <w:rPr>
          <w:lang w:val="en-US"/>
        </w:rPr>
        <w:t>_w</w:t>
      </w:r>
      <w:proofErr w:type="spellEnd"/>
      <w:r w:rsidRPr="00AD3D38">
        <w:rPr>
          <w:lang w:val="en-US"/>
        </w:rPr>
        <w:t xml:space="preserve"> = 0.04; and at the between level: </w:t>
      </w:r>
      <w:proofErr w:type="spellStart"/>
      <w:r w:rsidRPr="00AD3D38">
        <w:rPr>
          <w:lang w:val="en-US"/>
        </w:rPr>
        <w:t>ω_h,gen_b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ω_h,</w:t>
      </w:r>
      <w:r>
        <w:rPr>
          <w:lang w:val="en-US"/>
        </w:rPr>
        <w:t>cs</w:t>
      </w:r>
      <w:r w:rsidRPr="00AD3D38">
        <w:rPr>
          <w:lang w:val="en-US"/>
        </w:rPr>
        <w:t>_b</w:t>
      </w:r>
      <w:proofErr w:type="spellEnd"/>
      <w:r w:rsidRPr="00AD3D38">
        <w:rPr>
          <w:lang w:val="en-US"/>
        </w:rPr>
        <w:t xml:space="preserve"> = 0.07, </w:t>
      </w:r>
      <w:proofErr w:type="spellStart"/>
      <w:r w:rsidRPr="00AD3D38">
        <w:rPr>
          <w:lang w:val="en-US"/>
        </w:rPr>
        <w:t>ω_h,neg_b</w:t>
      </w:r>
      <w:proofErr w:type="spellEnd"/>
      <w:r w:rsidRPr="00AD3D38">
        <w:rPr>
          <w:lang w:val="en-US"/>
        </w:rPr>
        <w:t xml:space="preserve"> = 0.21.</w:t>
      </w:r>
    </w:p>
    <w:p w14:paraId="68FD1FBA" w14:textId="2BF4E8E4" w:rsidR="00AD3D38" w:rsidRPr="00AD3D38" w:rsidRDefault="00AD3D38" w:rsidP="00AD3D38">
      <w:pPr>
        <w:spacing w:before="100" w:beforeAutospacing="1" w:after="100" w:afterAutospacing="1" w:line="480" w:lineRule="auto"/>
        <w:ind w:firstLine="720"/>
        <w:rPr>
          <w:lang w:val="en-US"/>
        </w:rPr>
      </w:pPr>
      <w:r w:rsidRPr="00AD3D38">
        <w:rPr>
          <w:lang w:val="en-US"/>
        </w:rPr>
        <w:lastRenderedPageBreak/>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p>
    <w:p w14:paraId="11F7E3C3" w14:textId="2924C410" w:rsidR="00172C57" w:rsidRDefault="00172C57" w:rsidP="00172C57">
      <w:pPr>
        <w:spacing w:before="100" w:beforeAutospacing="1" w:after="100" w:afterAutospacing="1" w:line="480" w:lineRule="auto"/>
        <w:rPr>
          <w:lang w:val="en-US"/>
        </w:rPr>
      </w:pPr>
      <w:r w:rsidRPr="002C2F26">
        <w:rPr>
          <w:b/>
          <w:bCs/>
          <w:lang w:val="en-US"/>
        </w:rPr>
        <w:t>Table 1.</w:t>
      </w:r>
      <w:r w:rsidRPr="00172C57">
        <w:rPr>
          <w:lang w:val="en-US"/>
        </w:rPr>
        <w:t xml:space="preserve">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777C065" w14:textId="509F2E4D" w:rsidR="000577D2" w:rsidRPr="000577D2" w:rsidRDefault="000577D2" w:rsidP="000577D2">
      <w:pPr>
        <w:spacing w:before="100" w:beforeAutospacing="1" w:after="100" w:afterAutospacing="1" w:line="480" w:lineRule="auto"/>
        <w:rPr>
          <w:lang w:val="en-US"/>
        </w:rPr>
      </w:pPr>
      <w:r w:rsidRPr="002C2F26">
        <w:rPr>
          <w:b/>
          <w:bCs/>
          <w:lang w:val="en-US"/>
        </w:rPr>
        <w:t>Table 2.</w:t>
      </w:r>
      <w:r w:rsidRPr="000577D2">
        <w:rPr>
          <w:lang w:val="en-US"/>
        </w:rPr>
        <w:t xml:space="preserve">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24C105E2"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w:t>
      </w:r>
      <w:r w:rsidRPr="00EB6DD6">
        <w:rPr>
          <w:lang w:val="en-US"/>
        </w:rPr>
        <w:lastRenderedPageBreak/>
        <w:t xml:space="preserve">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H3</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w:t>
      </w:r>
      <w:r w:rsidR="00693B1D" w:rsidRPr="00693B1D">
        <w:rPr>
          <w:lang w:val="en-US"/>
        </w:rPr>
        <w:lastRenderedPageBreak/>
        <w:t xml:space="preserve">direction—of this relationship differs across individuals, with approximately 19% showing neutral or positive associations.  </w:t>
      </w:r>
    </w:p>
    <w:p w14:paraId="664312DF" w14:textId="43F43AD2" w:rsidR="00693B1D" w:rsidRPr="00693B1D" w:rsidRDefault="00693B1D" w:rsidP="00693B1D">
      <w:pPr>
        <w:spacing w:before="100" w:beforeAutospacing="1" w:after="100" w:afterAutospacing="1" w:line="480" w:lineRule="auto"/>
        <w:ind w:firstLine="720"/>
        <w:rPr>
          <w:lang w:val="en-US"/>
        </w:rPr>
      </w:pPr>
      <w:r w:rsidRPr="00693B1D">
        <w:rPr>
          <w:lang w:val="en-US"/>
        </w:rPr>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differences in how participants respond to negative affect, possibly reflecting individual differences in coping mechanisms or emotional regulation.  </w:t>
      </w:r>
    </w:p>
    <w:p w14:paraId="169CCC25" w14:textId="0B81560C" w:rsidR="00693B1D" w:rsidRPr="00693B1D" w:rsidRDefault="00693B1D" w:rsidP="00693B1D">
      <w:pPr>
        <w:spacing w:before="100" w:beforeAutospacing="1" w:after="100" w:afterAutospacing="1" w:line="480" w:lineRule="auto"/>
        <w:ind w:firstLine="720"/>
        <w:rPr>
          <w:lang w:val="en-US"/>
        </w:rPr>
      </w:pPr>
      <w:r w:rsidRPr="00693B1D">
        <w:rPr>
          <w:lang w:val="en-US"/>
        </w:rPr>
        <w:t>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w:t>
      </w:r>
    </w:p>
    <w:p w14:paraId="600CE066" w14:textId="7BCEAFF8"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Finally, the interaction between CS and negative affect was minimal, with the 89% CI spanning zero (-0.03 to 0.00), indicating no credible evidence that negative affect moderates the inverse relationship between CS and UCS.  </w:t>
      </w:r>
    </w:p>
    <w:p w14:paraId="7ED06390" w14:textId="170281AF" w:rsidR="00693B1D" w:rsidRPr="00693B1D" w:rsidRDefault="00693B1D" w:rsidP="00693B1D">
      <w:pPr>
        <w:spacing w:before="100" w:beforeAutospacing="1" w:after="100" w:afterAutospacing="1" w:line="480" w:lineRule="auto"/>
        <w:ind w:firstLine="720"/>
        <w:rPr>
          <w:b/>
          <w:bCs/>
          <w:lang w:val="en-US"/>
        </w:rPr>
      </w:pPr>
      <w:r w:rsidRPr="00693B1D">
        <w:rPr>
          <w:b/>
          <w:bCs/>
          <w:lang w:val="en-US"/>
        </w:rPr>
        <w:t>Discussion</w:t>
      </w:r>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 xml:space="preserve">The positive association between negative affect and UCS reinforces the idea that negative emotional states intensify uncompassionate self-responding, though the observed </w:t>
      </w:r>
      <w:r w:rsidRPr="00693B1D">
        <w:rPr>
          <w:lang w:val="en-US"/>
        </w:rPr>
        <w:lastRenderedPageBreak/>
        <w:t xml:space="preserve">individual differences highlight the role of factors such as coping strategies and emotional regulation capacities. The minimal impact of context evaluation on UCS suggests that self-compassion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Importantly, the lack of a credible CS-negative affect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74AF8690" w14:textId="77777777" w:rsidR="008968FA"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Even-Odd Inconsistency Index, </w:t>
      </w:r>
      <w:proofErr w:type="spellStart"/>
      <w:r w:rsidR="008968FA">
        <w:t>Mahalanobis</w:t>
      </w:r>
      <w:proofErr w:type="spellEnd"/>
      <w:r w:rsidR="008968FA">
        <w:t xml:space="preserve"> Distance, and time to completion. These metrics were compared between participants with positive UCS-CS associations and those with neutral or negative associations.</w:t>
      </w:r>
      <w:r w:rsidR="008968FA">
        <w:t xml:space="preserve"> </w:t>
      </w:r>
    </w:p>
    <w:p w14:paraId="071C27BB" w14:textId="0EDAA318" w:rsidR="008968FA" w:rsidRPr="008968FA" w:rsidRDefault="008968FA" w:rsidP="008968FA">
      <w:pPr>
        <w:pStyle w:val="BodyText"/>
      </w:pPr>
      <w:r w:rsidRPr="008968FA">
        <w:t>The analysis found no credible evidence that response biases accounted for the positive UCS-CS associations</w:t>
      </w:r>
      <w:r w:rsidRPr="008968FA">
        <w:t xml:space="preserve">. </w:t>
      </w:r>
      <w:r w:rsidRPr="008968FA">
        <w:t>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31A88BDD" w14:textId="4E9060DA" w:rsidR="00D82FF3" w:rsidRDefault="00D82FF3" w:rsidP="00EB6DD6">
      <w:pPr>
        <w:spacing w:line="480" w:lineRule="auto"/>
        <w:ind w:firstLine="708"/>
        <w:rPr>
          <w:lang w:val="en-US"/>
        </w:rPr>
      </w:pPr>
      <w:r w:rsidRPr="00D82FF3">
        <w:rPr>
          <w:lang w:val="en-US"/>
        </w:rPr>
        <w:lastRenderedPageBreak/>
        <w:t xml:space="preserve">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w:t>
      </w:r>
      <w:r w:rsidR="00DC7A36" w:rsidRPr="00DC7A36">
        <w:rPr>
          <w:lang w:val="en-US"/>
        </w:rPr>
        <w:t>hypotheses addressing their temporal dynamics, contextual 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p>
    <w:p w14:paraId="1ADBA1A9" w14:textId="5CE866F8" w:rsidR="00DC7A36" w:rsidRDefault="00DC7A36" w:rsidP="00EB6DD6">
      <w:pPr>
        <w:spacing w:line="480" w:lineRule="auto"/>
        <w:ind w:firstLine="708"/>
        <w:rPr>
          <w:lang w:val="en-US"/>
        </w:rPr>
      </w:pPr>
      <w:r w:rsidRPr="00DC7A36">
        <w:rPr>
          <w:rStyle w:val="Strong"/>
          <w:rFonts w:eastAsiaTheme="majorEastAsia"/>
          <w:lang w:val="en-US"/>
        </w:rPr>
        <w:t>H1</w:t>
      </w:r>
      <w:r w:rsidRPr="00DC7A36">
        <w:rPr>
          <w:lang w:val="en-US"/>
        </w:rPr>
        <w:t xml:space="preserve"> proposed that CS and UCS exhibit dynamic and context-sensitive temporal relationships. Our </w:t>
      </w:r>
      <w:proofErr w:type="spellStart"/>
      <w:r w:rsidRPr="00DC7A36">
        <w:rPr>
          <w:lang w:val="en-US"/>
        </w:rPr>
        <w:t>idionomic</w:t>
      </w:r>
      <w:proofErr w:type="spellEnd"/>
      <w:r w:rsidRPr="00DC7A36">
        <w:rPr>
          <w:lang w:val="en-US"/>
        </w:rPr>
        <w:t xml:space="preserve"> analysis, which focused on individual-level dynamics, largely supports the Bipolar Continuum Hypothesis. Most participants displayed an inverse relationship between CS and UCS, consistent with the conceptualization of self-compassion as a bipolar construct. However, individual variability emerged: while the majority showed the hypothesized inverse association, approximately 19% of participants exhibited neutral or positive associations. This variability underscores the contextual and individual factors that shape the CS-UCS relationship and challenges the universality of the Bipolar Continuum framework. These findings highlight the value of idiographic analyses, which reveal nuanced patterns often obscured by group-level approaches (Ferrari et al., 2023; Ullrich et al., 2020).</w:t>
      </w:r>
    </w:p>
    <w:p w14:paraId="42C86395" w14:textId="696A8B2F" w:rsidR="00DC7A36" w:rsidRDefault="00DC7A36" w:rsidP="00EB6DD6">
      <w:pPr>
        <w:spacing w:line="480" w:lineRule="auto"/>
        <w:ind w:firstLine="708"/>
        <w:rPr>
          <w:color w:val="000000" w:themeColor="text1"/>
          <w:lang w:val="en-US"/>
        </w:rPr>
      </w:pPr>
      <w:r w:rsidRPr="00DC7A36">
        <w:rPr>
          <w:rStyle w:val="Strong"/>
          <w:rFonts w:eastAsiaTheme="majorEastAsia"/>
          <w:lang w:val="en-US"/>
        </w:rPr>
        <w:t>H2</w:t>
      </w:r>
      <w:r w:rsidRPr="00DC7A36">
        <w:rPr>
          <w:lang w:val="en-US"/>
        </w:rPr>
        <w:t xml:space="preserve"> posited that CS and UCS would exhibit strong temporal dynamics, reflecting real-time regulatory processes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w:t>
      </w:r>
      <w:r w:rsidRPr="00EB6DD6">
        <w:rPr>
          <w:lang w:val="en-US"/>
        </w:rPr>
        <w:t xml:space="preserve">Gavrilova &amp; Zawadzki, 2023; </w:t>
      </w:r>
      <w:r w:rsidRPr="00EB6DD6">
        <w:rPr>
          <w:color w:val="000000" w:themeColor="text1"/>
          <w:lang w:val="en-US"/>
        </w:rPr>
        <w:t xml:space="preserve">Mey et al., 2023; </w:t>
      </w:r>
      <w:proofErr w:type="spellStart"/>
      <w:r w:rsidRPr="00EB6DD6">
        <w:rPr>
          <w:lang w:val="en-US"/>
        </w:rPr>
        <w:t>Sahdra</w:t>
      </w:r>
      <w:proofErr w:type="spellEnd"/>
      <w:r w:rsidRPr="00EB6DD6">
        <w:rPr>
          <w:lang w:val="en-US"/>
        </w:rPr>
        <w:t xml:space="preserve"> et al., 2023; 2024</w:t>
      </w:r>
      <w:r w:rsidRPr="00EB6DD6">
        <w:rPr>
          <w:color w:val="000000" w:themeColor="text1"/>
          <w:lang w:val="en-US"/>
        </w:rPr>
        <w:t>)</w:t>
      </w:r>
      <w:r w:rsidRPr="00DC7A36">
        <w:rPr>
          <w:lang w:val="en-US"/>
        </w:rPr>
        <w:t xml:space="preserve">. The data supported this hypothesis, showing notable fluctuations in </w:t>
      </w:r>
      <w:r w:rsidRPr="00DC7A36">
        <w:rPr>
          <w:lang w:val="en-US"/>
        </w:rPr>
        <w:lastRenderedPageBreak/>
        <w:t>response to immediate emotional and contextual changes. Negative affect reliably predicted decreases in CS and increases in UCS, aligning with Ferrari et al.’s (2022) view of self-compassion as a flexible regulatory system. These findings emphasize the adaptive nature of CS and UCS, which shift dynamically to meet emotional demands</w:t>
      </w:r>
      <w:r>
        <w:rPr>
          <w:lang w:val="en-US"/>
        </w:rPr>
        <w:t xml:space="preserve"> </w:t>
      </w:r>
      <w:r w:rsidRPr="00EB6DD6">
        <w:rPr>
          <w:color w:val="000000" w:themeColor="text1"/>
          <w:lang w:val="en-US"/>
        </w:rPr>
        <w:t>(Neff et al., 2021).</w:t>
      </w:r>
    </w:p>
    <w:p w14:paraId="0A031D1A" w14:textId="4FFD606A" w:rsidR="00DC7A36" w:rsidRPr="00DC7A36" w:rsidRDefault="00DC7A36" w:rsidP="00EB6DD6">
      <w:pPr>
        <w:spacing w:line="480" w:lineRule="auto"/>
        <w:ind w:firstLine="708"/>
        <w:rPr>
          <w:color w:val="000000" w:themeColor="text1"/>
          <w:lang w:val="en-US"/>
        </w:rPr>
      </w:pPr>
      <w:r w:rsidRPr="00DC7A36">
        <w:rPr>
          <w:rStyle w:val="Strong"/>
          <w:rFonts w:eastAsiaTheme="majorEastAsia"/>
          <w:lang w:val="en-US"/>
        </w:rPr>
        <w:t>H3</w:t>
      </w:r>
      <w:r w:rsidRPr="00DC7A36">
        <w:rPr>
          <w:lang w:val="en-US"/>
        </w:rPr>
        <w:t xml:space="preserve"> hypothesized that contextual stressors or heightened negative affect would intensify the inverse relationship between CS and UCS. This hypothesis was not supported. Although stress independently influenced CS and UCS—decreasing CS and increasing UCS before university exams, with these trends reversing afterward—the strength of their inverse relationship remained stable across stress levels. This stability suggests that, while CS and UCS adjust to stress, their interdependence is not amplified by heightened stress. These findings contribute to the understanding of self-compassion as a robust regulatory system that maintains a stable inverse relationship across varying levels of stress, contrasting with prior suggestions that stress heightens bipolarity (</w:t>
      </w:r>
      <w:proofErr w:type="spellStart"/>
      <w:r w:rsidRPr="00DC7A36">
        <w:rPr>
          <w:lang w:val="en-US"/>
        </w:rPr>
        <w:t>Dejonckheere</w:t>
      </w:r>
      <w:proofErr w:type="spellEnd"/>
      <w:r w:rsidRPr="00DC7A36">
        <w:rPr>
          <w:lang w:val="en-US"/>
        </w:rPr>
        <w:t xml:space="preserve"> et al., 2021).</w:t>
      </w:r>
    </w:p>
    <w:p w14:paraId="21520B1A" w14:textId="088FE1F7" w:rsidR="00B00176" w:rsidRDefault="00F96392" w:rsidP="00B00176">
      <w:pPr>
        <w:spacing w:line="480" w:lineRule="auto"/>
        <w:ind w:firstLine="708"/>
        <w:rPr>
          <w:lang w:val="en-US"/>
        </w:rPr>
      </w:pPr>
      <w:r w:rsidRPr="00F96392">
        <w:rPr>
          <w:rStyle w:val="Strong"/>
          <w:rFonts w:eastAsiaTheme="majorEastAsia"/>
          <w:lang w:val="en-US"/>
        </w:rPr>
        <w:t>H4</w:t>
      </w:r>
      <w:r w:rsidRPr="00F96392">
        <w:rPr>
          <w:lang w:val="en-US"/>
        </w:rPr>
        <w:t xml:space="preserve"> proposed that the CS-UCS relationship varies across individuals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Hayes et al. 2020; Sanford et al., 2022; </w:t>
      </w:r>
      <w:proofErr w:type="spellStart"/>
      <w:r w:rsidRPr="00EB6DD6">
        <w:rPr>
          <w:color w:val="000000" w:themeColor="text1"/>
          <w:lang w:val="en-US"/>
        </w:rPr>
        <w:t>Sahdra</w:t>
      </w:r>
      <w:proofErr w:type="spellEnd"/>
      <w:r w:rsidRPr="00EB6DD6">
        <w:rPr>
          <w:color w:val="000000" w:themeColor="text1"/>
          <w:lang w:val="en-US"/>
        </w:rPr>
        <w:t xml:space="preserve"> et al, 2024)</w:t>
      </w:r>
      <w:r w:rsidRPr="00F96392">
        <w:rPr>
          <w:lang w:val="en-US"/>
        </w:rPr>
        <w:t>. Our findings confirmed this hypothesis, revealing two key patterns: (1) variability in the strength of the CS-UCS association across participants and (2) a subset of individuals exhibiting neutral or positive associations. While the first pattern aligns with the Bipolar Continuum Hypothesis by highlighting inter-individual variability, the second challenges its universal applicability</w:t>
      </w:r>
      <w:r w:rsidR="00B00176">
        <w:rPr>
          <w:lang w:val="en-US"/>
        </w:rPr>
        <w:t xml:space="preserve">, </w:t>
      </w:r>
      <w:r w:rsidR="00B00176" w:rsidRPr="00B00176">
        <w:rPr>
          <w:lang w:val="en-US"/>
        </w:rPr>
        <w:t>underscor</w:t>
      </w:r>
      <w:r w:rsidR="00B00176">
        <w:rPr>
          <w:lang w:val="en-US"/>
        </w:rPr>
        <w:t>ing</w:t>
      </w:r>
      <w:r w:rsidR="00B00176" w:rsidRPr="00B00176">
        <w:rPr>
          <w:lang w:val="en-US"/>
        </w:rPr>
        <w:t xml:space="preserve"> the importance of idiographic analyses, which can reveal nuanced patterns</w:t>
      </w:r>
      <w:r w:rsidR="00B00176">
        <w:rPr>
          <w:lang w:val="en-US"/>
        </w:rPr>
        <w:t xml:space="preserve"> </w:t>
      </w:r>
      <w:r w:rsidR="00B00176" w:rsidRPr="00B00176">
        <w:rPr>
          <w:lang w:val="en-US"/>
        </w:rPr>
        <w:t>obscured by aggregate, group-level approaches (Ferrari et al., 2023; Ullrich et al., 2020).</w:t>
      </w:r>
    </w:p>
    <w:p w14:paraId="0F9FA3AB" w14:textId="07DFC5F7" w:rsidR="00B00176" w:rsidRPr="00B00176" w:rsidRDefault="00B00176" w:rsidP="00B00176">
      <w:pPr>
        <w:spacing w:line="480" w:lineRule="auto"/>
        <w:ind w:firstLine="708"/>
        <w:rPr>
          <w:color w:val="000000" w:themeColor="text1"/>
          <w:lang w:val="en-US"/>
        </w:rPr>
      </w:pPr>
      <w:r w:rsidRPr="00B00176">
        <w:rPr>
          <w:color w:val="000000" w:themeColor="text1"/>
          <w:lang w:val="en-US"/>
        </w:rPr>
        <w:t xml:space="preserve">Further insights into the structure of state self-compassion were provided by our multilevel CFA analysis. While the Bifactor Model showed the best fit indices, recent literature warns that such models may overfit and inflate fit indices (Bonifay et al., 2017). The superior </w:t>
      </w:r>
      <w:r w:rsidRPr="00B00176">
        <w:rPr>
          <w:color w:val="000000" w:themeColor="text1"/>
          <w:lang w:val="en-US"/>
        </w:rPr>
        <w:lastRenderedPageBreak/>
        <w:t>performance of the Two-Factor Model over the One-Factor Model underscores the distinctiveness of CS and UCS as components of state self-compassion. This suggests that, while a general factor may contribute to the construct, it does not fully capture the dynamic interplay between CS and UCS.</w:t>
      </w:r>
    </w:p>
    <w:p w14:paraId="645AC966" w14:textId="0F01682F" w:rsidR="00B00176" w:rsidRDefault="00B00176" w:rsidP="00B00176">
      <w:pPr>
        <w:spacing w:line="480" w:lineRule="auto"/>
        <w:ind w:firstLine="708"/>
        <w:rPr>
          <w:color w:val="000000" w:themeColor="text1"/>
          <w:lang w:val="en-US"/>
        </w:rPr>
      </w:pPr>
      <w:r w:rsidRPr="00B00176">
        <w:rPr>
          <w:color w:val="000000" w:themeColor="text1"/>
          <w:lang w:val="en-US"/>
        </w:rPr>
        <w:t>Some findings further challenge the universality of the Bipolar Continuum Hypothesis. For instance, mindfulness traits like decentering consistently reduced UCS without correspondingly increasing CS, implying that mindfulness practices may be more effective in reducing self-criticism than enhancing self-compassion. These asymmetries suggest that the relationship between CS and UCS is more complex than strictly bipolar, requiring nuanced frameworks to account for differential sensitivity to contextual factors (</w:t>
      </w:r>
      <w:proofErr w:type="spellStart"/>
      <w:r w:rsidRPr="00B00176">
        <w:rPr>
          <w:color w:val="000000" w:themeColor="text1"/>
          <w:lang w:val="en-US"/>
        </w:rPr>
        <w:t>Biehler</w:t>
      </w:r>
      <w:proofErr w:type="spellEnd"/>
      <w:r w:rsidRPr="00B00176">
        <w:rPr>
          <w:color w:val="000000" w:themeColor="text1"/>
          <w:lang w:val="en-US"/>
        </w:rPr>
        <w:t xml:space="preserve"> &amp; </w:t>
      </w:r>
      <w:proofErr w:type="spellStart"/>
      <w:r w:rsidRPr="00B00176">
        <w:rPr>
          <w:color w:val="000000" w:themeColor="text1"/>
          <w:lang w:val="en-US"/>
        </w:rPr>
        <w:t>Naragon</w:t>
      </w:r>
      <w:proofErr w:type="spellEnd"/>
      <w:r w:rsidRPr="00B00176">
        <w:rPr>
          <w:color w:val="000000" w:themeColor="text1"/>
          <w:lang w:val="en-US"/>
        </w:rPr>
        <w:t>-Gainey, 2022; Mey et al., 2022).</w:t>
      </w:r>
    </w:p>
    <w:p w14:paraId="298219C6" w14:textId="7020B108" w:rsidR="00B00176" w:rsidRPr="00B00176" w:rsidRDefault="00B00176" w:rsidP="00B00176">
      <w:pPr>
        <w:spacing w:line="480" w:lineRule="auto"/>
        <w:ind w:firstLine="708"/>
        <w:rPr>
          <w:color w:val="000000" w:themeColor="text1"/>
          <w:lang w:val="en-US"/>
        </w:rPr>
      </w:pPr>
      <w:r w:rsidRPr="00B00176">
        <w:rPr>
          <w:lang w:val="en-US"/>
        </w:rPr>
        <w:t>To reconcile these findings that diverge from the Bipolar Continuum Hypothesis, one might consider that a single construct could encompass subdimensions or facets that, while embedded within the same overarching framework, demonstrate differential sensitivity to external influences across contextual factors (as evidenced in Study 2).</w:t>
      </w:r>
      <w:r>
        <w:rPr>
          <w:lang w:val="en-US"/>
        </w:rPr>
        <w:t xml:space="preserve"> </w:t>
      </w:r>
      <w:r w:rsidRPr="00B00176">
        <w:rPr>
          <w:lang w:val="en-US"/>
        </w:rPr>
        <w:t xml:space="preserve">Such an interpretation could align with the notion of a general construct manifesting varied expressions across different contexts. However, this perspective would require additional theoretical support to substantiate the construct's </w:t>
      </w:r>
      <w:proofErr w:type="spellStart"/>
      <w:r w:rsidRPr="00B00176">
        <w:rPr>
          <w:lang w:val="en-US"/>
        </w:rPr>
        <w:t>unidimensionality</w:t>
      </w:r>
      <w:proofErr w:type="spellEnd"/>
      <w:r w:rsidRPr="00B00176">
        <w:rPr>
          <w:lang w:val="en-US"/>
        </w:rPr>
        <w:t>. Notably, this interpretation contrasts with Neff's conceptualization of self-compassion as a singular, bipolar construct (Neff, 2022; 2023).</w:t>
      </w:r>
    </w:p>
    <w:p w14:paraId="238994DD" w14:textId="77777777" w:rsidR="00B00176" w:rsidRPr="00B00176" w:rsidRDefault="00B00176" w:rsidP="00EB6DD6">
      <w:pPr>
        <w:spacing w:line="480" w:lineRule="auto"/>
        <w:ind w:firstLine="708"/>
        <w:rPr>
          <w:lang w:val="en-US"/>
        </w:rPr>
      </w:pPr>
      <w:r w:rsidRPr="00B00176">
        <w:rPr>
          <w:lang w:val="en-US"/>
        </w:rPr>
        <w:t xml:space="preserve">Clinically, the observed individual variability in CS-UCS associations suggests that personalized approaches may be more effective than one-size-fits-all treatments. Tailored interventions could focus on enhancing CS or reducing UCS, depending on individual needs. The differential impact of mindfulness on UCS also suggests that mindfulness-based interventions could be refined to target self-criticism, especially when enhancing CS proves challenging. These </w:t>
      </w:r>
      <w:r w:rsidRPr="00B00176">
        <w:rPr>
          <w:lang w:val="en-US"/>
        </w:rPr>
        <w:lastRenderedPageBreak/>
        <w:t>individualized strategies align with emerging psychological care models that prioritize adaptability to individual profiles (Ferrari et al., 2022; Ullrich-French &amp; Cox, 2020).</w:t>
      </w:r>
    </w:p>
    <w:p w14:paraId="2D97587E" w14:textId="7302C5D2" w:rsidR="00194C2B" w:rsidRPr="00194C2B" w:rsidRDefault="00DC7365" w:rsidP="00194C2B">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w:t>
      </w:r>
      <w:r w:rsidR="00194C2B" w:rsidRPr="00194C2B">
        <w:rPr>
          <w:rFonts w:eastAsiaTheme="minorHAnsi"/>
          <w:lang w:val="en-US" w:eastAsia="en-US"/>
        </w:rPr>
        <w:t>This study has several strengths, including the use of repeated naturalistic sampling within a community-based sample, which provides detailed insights into state self-compassion in real-world contexts. However, there are limitations. The sample, predominantly university psychology students, limits generalizability to broader populations, particularly clinical settings where UCS tends to be elevated and CS reduced (Neff &amp; McGehee, 2010). Future research should examine clinical samples to better understand the dynamics of state self-compassion in populations with higher self-criticism.</w:t>
      </w:r>
    </w:p>
    <w:p w14:paraId="58CC7BA4" w14:textId="4C6C061F" w:rsidR="00194C2B" w:rsidRPr="00194C2B" w:rsidRDefault="00194C2B" w:rsidP="00194C2B">
      <w:pPr>
        <w:spacing w:line="480" w:lineRule="auto"/>
        <w:ind w:firstLine="708"/>
        <w:rPr>
          <w:rFonts w:eastAsiaTheme="minorHAnsi"/>
          <w:lang w:val="en-US" w:eastAsia="en-US"/>
        </w:rPr>
      </w:pPr>
      <w:r w:rsidRPr="00194C2B">
        <w:rPr>
          <w:rFonts w:eastAsiaTheme="minorHAnsi"/>
          <w:lang w:val="en-US" w:eastAsia="en-US"/>
        </w:rPr>
        <w:t>Additionally, other potentially influential momentary variables, such as mindfulness and rumination, were not included in this study. Incorporating these factors could provide a more comprehensive understanding of the CS-UCS relationship. While the weekly EMA protocol reduced participant burden, higher-frequency sampling (e.g., five prompts per day) could offer finer-grained insights into the temporal dynamics of self-compassion.</w:t>
      </w:r>
    </w:p>
    <w:p w14:paraId="69974B8E" w14:textId="71E329D1" w:rsidR="00194C2B" w:rsidRDefault="00194C2B" w:rsidP="00194C2B">
      <w:pPr>
        <w:spacing w:line="480" w:lineRule="auto"/>
        <w:ind w:firstLine="708"/>
        <w:rPr>
          <w:rFonts w:eastAsiaTheme="minorHAnsi"/>
          <w:lang w:val="en-US" w:eastAsia="en-US"/>
        </w:rPr>
      </w:pPr>
      <w:r w:rsidRPr="00194C2B">
        <w:rPr>
          <w:rFonts w:eastAsiaTheme="minorHAnsi"/>
          <w:lang w:val="en-US" w:eastAsia="en-US"/>
        </w:rPr>
        <w:t xml:space="preserve">Lastly, this study relied on Neff’s </w:t>
      </w:r>
      <w:r>
        <w:rPr>
          <w:rFonts w:eastAsiaTheme="minorHAnsi"/>
          <w:lang w:val="en-US" w:eastAsia="en-US"/>
        </w:rPr>
        <w:t xml:space="preserve">State </w:t>
      </w:r>
      <w:r w:rsidRPr="00194C2B">
        <w:rPr>
          <w:rFonts w:eastAsiaTheme="minorHAnsi"/>
          <w:lang w:val="en-US" w:eastAsia="en-US"/>
        </w:rPr>
        <w:t>Self-Compassion Scale, which emphasizes an individualistic sense of self common in Western cultures. Alternative frameworks, including those rooted in Buddhist traditions, could provide complementary perspectives on self-compassion by incorporating relational aspects of the self.</w:t>
      </w:r>
    </w:p>
    <w:p w14:paraId="2808E411" w14:textId="77777777" w:rsidR="009C3018" w:rsidRDefault="009C3018" w:rsidP="00194C2B">
      <w:pPr>
        <w:spacing w:line="480" w:lineRule="auto"/>
        <w:ind w:firstLine="708"/>
        <w:rPr>
          <w:rFonts w:eastAsiaTheme="minorHAnsi"/>
          <w:lang w:val="en-US" w:eastAsia="en-US"/>
        </w:rPr>
      </w:pPr>
    </w:p>
    <w:p w14:paraId="4F681092" w14:textId="32C82E23" w:rsidR="00194C2B" w:rsidRPr="00EB6DD6" w:rsidRDefault="00194C2B" w:rsidP="00194C2B">
      <w:pPr>
        <w:spacing w:line="480" w:lineRule="auto"/>
        <w:ind w:firstLine="708"/>
        <w:rPr>
          <w:rFonts w:eastAsiaTheme="minorHAnsi"/>
          <w:lang w:val="en-US" w:eastAsia="en-US"/>
        </w:rPr>
      </w:pPr>
      <w:r>
        <w:rPr>
          <w:rFonts w:eastAsiaTheme="minorHAnsi"/>
          <w:lang w:val="en-US" w:eastAsia="en-US"/>
        </w:rPr>
        <w:t xml:space="preserve">In summary, </w:t>
      </w:r>
      <w:r>
        <w:rPr>
          <w:lang w:val="en-US"/>
        </w:rPr>
        <w:t>w</w:t>
      </w:r>
      <w:r w:rsidRPr="00194C2B">
        <w:rPr>
          <w:lang w:val="en-US"/>
        </w:rPr>
        <w:t xml:space="preserve">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w:t>
      </w:r>
      <w:r w:rsidRPr="00194C2B">
        <w:rPr>
          <w:lang w:val="en-US"/>
        </w:rPr>
        <w:lastRenderedPageBreak/>
        <w:t>advance our understanding of state self-compassion and inform personalized therapeutic interventions.</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lastRenderedPageBreak/>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 xml:space="preserve">Journal of </w:t>
      </w:r>
      <w:r w:rsidRPr="00EB6DD6">
        <w:rPr>
          <w:rFonts w:cs="Times New Roman"/>
          <w:i/>
          <w:iCs/>
        </w:rPr>
        <w:lastRenderedPageBreak/>
        <w:t>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w:t>
      </w:r>
      <w:r w:rsidRPr="00EB6DD6">
        <w:rPr>
          <w:rFonts w:cs="Times New Roman"/>
        </w:rPr>
        <w:lastRenderedPageBreak/>
        <w:t xml:space="preserve">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lastRenderedPageBreak/>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lastRenderedPageBreak/>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lastRenderedPageBreak/>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lastRenderedPageBreak/>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lastRenderedPageBreak/>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lastRenderedPageBreak/>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lastRenderedPageBreak/>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C8E02" w14:textId="77777777" w:rsidR="00031192" w:rsidRDefault="00031192" w:rsidP="00AA3C26">
      <w:r>
        <w:separator/>
      </w:r>
    </w:p>
  </w:endnote>
  <w:endnote w:type="continuationSeparator" w:id="0">
    <w:p w14:paraId="2A3ED859" w14:textId="77777777" w:rsidR="00031192" w:rsidRDefault="00031192"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6CFF5" w14:textId="77777777" w:rsidR="00031192" w:rsidRDefault="00031192" w:rsidP="00AA3C26">
      <w:r>
        <w:separator/>
      </w:r>
    </w:p>
  </w:footnote>
  <w:footnote w:type="continuationSeparator" w:id="0">
    <w:p w14:paraId="3C3E87A9" w14:textId="77777777" w:rsidR="00031192" w:rsidRDefault="00031192"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1192"/>
    <w:rsid w:val="00035EC7"/>
    <w:rsid w:val="000436A7"/>
    <w:rsid w:val="000471A2"/>
    <w:rsid w:val="000474E4"/>
    <w:rsid w:val="00055197"/>
    <w:rsid w:val="000577D2"/>
    <w:rsid w:val="0006263B"/>
    <w:rsid w:val="0007003E"/>
    <w:rsid w:val="00073822"/>
    <w:rsid w:val="00093038"/>
    <w:rsid w:val="000945A9"/>
    <w:rsid w:val="00094F30"/>
    <w:rsid w:val="000A3791"/>
    <w:rsid w:val="000D246E"/>
    <w:rsid w:val="000D57F6"/>
    <w:rsid w:val="000D6183"/>
    <w:rsid w:val="000D7720"/>
    <w:rsid w:val="000E11A8"/>
    <w:rsid w:val="000F146A"/>
    <w:rsid w:val="000F77E5"/>
    <w:rsid w:val="000F7D4E"/>
    <w:rsid w:val="0010128B"/>
    <w:rsid w:val="00103662"/>
    <w:rsid w:val="00110B4C"/>
    <w:rsid w:val="00110F3C"/>
    <w:rsid w:val="0011227A"/>
    <w:rsid w:val="001173EF"/>
    <w:rsid w:val="00123241"/>
    <w:rsid w:val="001246A5"/>
    <w:rsid w:val="00132C57"/>
    <w:rsid w:val="0013347D"/>
    <w:rsid w:val="00135E97"/>
    <w:rsid w:val="001362A2"/>
    <w:rsid w:val="00136B1C"/>
    <w:rsid w:val="00140762"/>
    <w:rsid w:val="00145A34"/>
    <w:rsid w:val="0015068B"/>
    <w:rsid w:val="001542B5"/>
    <w:rsid w:val="0015518D"/>
    <w:rsid w:val="00161D0C"/>
    <w:rsid w:val="0016281F"/>
    <w:rsid w:val="00164A6E"/>
    <w:rsid w:val="00166D44"/>
    <w:rsid w:val="001671F9"/>
    <w:rsid w:val="00171490"/>
    <w:rsid w:val="00172C57"/>
    <w:rsid w:val="001775F4"/>
    <w:rsid w:val="0018422B"/>
    <w:rsid w:val="001852E6"/>
    <w:rsid w:val="0018653E"/>
    <w:rsid w:val="001871F2"/>
    <w:rsid w:val="00187CA7"/>
    <w:rsid w:val="001919F7"/>
    <w:rsid w:val="00194C2B"/>
    <w:rsid w:val="00195451"/>
    <w:rsid w:val="001A3C86"/>
    <w:rsid w:val="001A43D3"/>
    <w:rsid w:val="001B45CE"/>
    <w:rsid w:val="001B6ECC"/>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C2F26"/>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62EBE"/>
    <w:rsid w:val="00374466"/>
    <w:rsid w:val="00374D41"/>
    <w:rsid w:val="0038720D"/>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7AD0"/>
    <w:rsid w:val="00402049"/>
    <w:rsid w:val="00402ED2"/>
    <w:rsid w:val="004032BB"/>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B7592"/>
    <w:rsid w:val="004C0F70"/>
    <w:rsid w:val="004C67E7"/>
    <w:rsid w:val="004D166E"/>
    <w:rsid w:val="004D6066"/>
    <w:rsid w:val="004E3B1F"/>
    <w:rsid w:val="004E6510"/>
    <w:rsid w:val="004F15BC"/>
    <w:rsid w:val="005131D4"/>
    <w:rsid w:val="00514335"/>
    <w:rsid w:val="00521FC9"/>
    <w:rsid w:val="0052360C"/>
    <w:rsid w:val="005255DA"/>
    <w:rsid w:val="00525C16"/>
    <w:rsid w:val="00533266"/>
    <w:rsid w:val="005332D8"/>
    <w:rsid w:val="0053419E"/>
    <w:rsid w:val="0053597D"/>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19EC"/>
    <w:rsid w:val="005B230E"/>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2E54"/>
    <w:rsid w:val="007346AE"/>
    <w:rsid w:val="00745BD1"/>
    <w:rsid w:val="0075225D"/>
    <w:rsid w:val="00755488"/>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6084"/>
    <w:rsid w:val="0080782A"/>
    <w:rsid w:val="00811853"/>
    <w:rsid w:val="00814296"/>
    <w:rsid w:val="008143DA"/>
    <w:rsid w:val="008165D1"/>
    <w:rsid w:val="00824040"/>
    <w:rsid w:val="00831722"/>
    <w:rsid w:val="00834C48"/>
    <w:rsid w:val="008425C9"/>
    <w:rsid w:val="00842C78"/>
    <w:rsid w:val="00847D61"/>
    <w:rsid w:val="00851373"/>
    <w:rsid w:val="00854B68"/>
    <w:rsid w:val="008555DA"/>
    <w:rsid w:val="00864693"/>
    <w:rsid w:val="008714D2"/>
    <w:rsid w:val="00874ADE"/>
    <w:rsid w:val="00880263"/>
    <w:rsid w:val="00890022"/>
    <w:rsid w:val="00891CB3"/>
    <w:rsid w:val="008924FC"/>
    <w:rsid w:val="0089493B"/>
    <w:rsid w:val="00895D6C"/>
    <w:rsid w:val="008968FA"/>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C3018"/>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4C6"/>
    <w:rsid w:val="00A31E2A"/>
    <w:rsid w:val="00A361E9"/>
    <w:rsid w:val="00A37792"/>
    <w:rsid w:val="00A40318"/>
    <w:rsid w:val="00A405E7"/>
    <w:rsid w:val="00A473DE"/>
    <w:rsid w:val="00A53166"/>
    <w:rsid w:val="00A62CBB"/>
    <w:rsid w:val="00A63788"/>
    <w:rsid w:val="00A66237"/>
    <w:rsid w:val="00A67080"/>
    <w:rsid w:val="00A715E5"/>
    <w:rsid w:val="00A74233"/>
    <w:rsid w:val="00A747B8"/>
    <w:rsid w:val="00A82EBA"/>
    <w:rsid w:val="00A854CB"/>
    <w:rsid w:val="00A87714"/>
    <w:rsid w:val="00A920B8"/>
    <w:rsid w:val="00A924D6"/>
    <w:rsid w:val="00A93A60"/>
    <w:rsid w:val="00A968AD"/>
    <w:rsid w:val="00AA2E5F"/>
    <w:rsid w:val="00AA3C26"/>
    <w:rsid w:val="00AA5C31"/>
    <w:rsid w:val="00AB70A6"/>
    <w:rsid w:val="00AC2AD2"/>
    <w:rsid w:val="00AD14CE"/>
    <w:rsid w:val="00AD3D38"/>
    <w:rsid w:val="00AE5AFA"/>
    <w:rsid w:val="00AF09F7"/>
    <w:rsid w:val="00AF0A30"/>
    <w:rsid w:val="00AF1A20"/>
    <w:rsid w:val="00AF3F84"/>
    <w:rsid w:val="00AF6B0D"/>
    <w:rsid w:val="00B00176"/>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8774D"/>
    <w:rsid w:val="00B91001"/>
    <w:rsid w:val="00B91639"/>
    <w:rsid w:val="00B91F67"/>
    <w:rsid w:val="00B92430"/>
    <w:rsid w:val="00B95246"/>
    <w:rsid w:val="00BA4AC8"/>
    <w:rsid w:val="00BA5B19"/>
    <w:rsid w:val="00BA74CF"/>
    <w:rsid w:val="00BB29F4"/>
    <w:rsid w:val="00BC1612"/>
    <w:rsid w:val="00BC2F8D"/>
    <w:rsid w:val="00BC35F4"/>
    <w:rsid w:val="00BC4614"/>
    <w:rsid w:val="00BE3006"/>
    <w:rsid w:val="00BE378B"/>
    <w:rsid w:val="00BE7AA4"/>
    <w:rsid w:val="00BF2983"/>
    <w:rsid w:val="00BF71C7"/>
    <w:rsid w:val="00BF7B04"/>
    <w:rsid w:val="00C02EB0"/>
    <w:rsid w:val="00C02F19"/>
    <w:rsid w:val="00C064D8"/>
    <w:rsid w:val="00C06F2B"/>
    <w:rsid w:val="00C07CD9"/>
    <w:rsid w:val="00C134AB"/>
    <w:rsid w:val="00C20AE8"/>
    <w:rsid w:val="00C20EA5"/>
    <w:rsid w:val="00C2514D"/>
    <w:rsid w:val="00C25CF7"/>
    <w:rsid w:val="00C26D8F"/>
    <w:rsid w:val="00C27932"/>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0A50"/>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2FF3"/>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C7A36"/>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881"/>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6392"/>
    <w:rsid w:val="00F9707F"/>
    <w:rsid w:val="00F974BD"/>
    <w:rsid w:val="00FA2F8A"/>
    <w:rsid w:val="00FA443F"/>
    <w:rsid w:val="00FA6F90"/>
    <w:rsid w:val="00FB15A2"/>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44</Pages>
  <Words>11905</Words>
  <Characters>67865</Characters>
  <Application>Microsoft Office Word</Application>
  <DocSecurity>0</DocSecurity>
  <Lines>565</Lines>
  <Paragraphs>159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302</cp:revision>
  <dcterms:created xsi:type="dcterms:W3CDTF">2024-11-03T08:09:00Z</dcterms:created>
  <dcterms:modified xsi:type="dcterms:W3CDTF">2025-01-20T13:19:00Z</dcterms:modified>
</cp:coreProperties>
</file>