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Bayesian Pattern Conformity Analysis</w:t>
      </w:r>
    </w:p>
    <w:p>
      <w:pPr>
        <w:spacing w:after="400"/>
        <w:jc w:val="center"/>
      </w:pPr>
      <w:r>
        <w:rPr>
          <w:i/>
          <w:iCs/>
          <w:sz w:val="22"/>
          <w:szCs w:val="22"/>
        </w:rPr>
        <w:t xml:space="preserve">A Theory-Driven Alternative to Multiple Comparison Corrections</w:t>
      </w:r>
    </w:p>
    <w:p>
      <w:pPr>
        <w:pStyle w:val="Heading1"/>
      </w:pPr>
      <w:r>
        <w:t xml:space="preserve">The Problem with Traditional Approaches</w:t>
      </w:r>
    </w:p>
    <w:p>
      <w:pPr>
        <w:spacing w:after="200"/>
      </w:pPr>
      <w:r>
        <w:t xml:space="preserve">With 180 interaction tests (6 acoustic outcomes × 3 vowels × 5 PID-5 domains × 2 contrasts), traditional frequentist corrections like Bonferroni (α = .05/180 = .00028) or even FDR corrections would be excessively conservative and conceptually misaligned with your research question. These approaches treat each test as an independent hypothesis, when in fact you have a </w:t>
      </w:r>
      <w:r>
        <w:rPr>
          <w:i/>
          <w:iCs/>
        </w:rPr>
        <w:t xml:space="preserve">single theoretical model</w:t>
      </w:r>
      <w:r>
        <w:t xml:space="preserve"> that makes coordinated predictions across outcomes.</w:t>
      </w:r>
    </w:p>
    <w:p>
      <w:pPr>
        <w:spacing w:after="200"/>
      </w:pPr>
      <w:r>
        <w:t xml:space="preserve">The fundamental insight is this: you are not asking "which individual effects are significant?" but rather "</w:t>
      </w:r>
      <w:r>
        <w:rPr>
          <w:b/>
          <w:bCs/>
        </w:rPr>
        <w:t xml:space="preserve">does my theoretical model of personality-stress dynamics accurately predict the pattern of results?</w:t>
      </w:r>
      <w:r>
        <w:t xml:space="preserve">" This is a qualitatively different question that requires a different analytical approach.</w:t>
      </w:r>
    </w:p>
    <w:p>
      <w:pPr>
        <w:pStyle w:val="Heading1"/>
      </w:pPr>
      <w:r>
        <w:t xml:space="preserve">The Bayesian Pattern Conformity Solution</w:t>
      </w:r>
    </w:p>
    <w:p>
      <w:pPr>
        <w:spacing w:after="200"/>
      </w:pPr>
      <w:r>
        <w:t xml:space="preserve">Instead of testing each effect independently, we leverage the Bayesian framework to compute the posterior probability that the </w:t>
      </w:r>
      <w:r>
        <w:rPr>
          <w:i/>
          <w:iCs/>
        </w:rPr>
        <w:t xml:space="preserve">overall pattern</w:t>
      </w:r>
      <w:r>
        <w:t xml:space="preserve"> matches theoretical predictions. This approach:</w:t>
      </w:r>
    </w:p>
    <w:p>
      <w:pPr>
        <w:pStyle w:val="ListParagraph"/>
        <w:numPr>
          <w:ilvl w:val="0"/>
          <w:numId w:val="2"/>
        </w:numPr>
      </w:pPr>
      <w:r>
        <w:rPr>
          <w:b/>
          <w:bCs/>
        </w:rPr>
        <w:t xml:space="preserve">Respects the joint nature of the hypothesis: </w:t>
      </w:r>
      <w:r>
        <w:t xml:space="preserve">Your theory makes coordinated predictions—effects should go together in specific ways</w:t>
      </w:r>
    </w:p>
    <w:p>
      <w:pPr>
        <w:pStyle w:val="ListParagraph"/>
        <w:numPr>
          <w:ilvl w:val="0"/>
          <w:numId w:val="2"/>
        </w:numPr>
      </w:pPr>
      <w:r>
        <w:rPr>
          <w:b/>
          <w:bCs/>
        </w:rPr>
        <w:t xml:space="preserve">Uses full posterior information: </w:t>
      </w:r>
      <w:r>
        <w:t xml:space="preserve">Rather than reducing each effect to a point estimate, we use the entire posterior distribution</w:t>
      </w:r>
    </w:p>
    <w:p>
      <w:pPr>
        <w:pStyle w:val="ListParagraph"/>
        <w:numPr>
          <w:ilvl w:val="0"/>
          <w:numId w:val="2"/>
        </w:numPr>
      </w:pPr>
      <w:r>
        <w:rPr>
          <w:b/>
          <w:bCs/>
        </w:rPr>
        <w:t xml:space="preserve">Accounts for dependencies: </w:t>
      </w:r>
      <w:r>
        <w:t xml:space="preserve">Effects from the same model share posterior uncertainty, which is preserved in this approach</w:t>
      </w:r>
    </w:p>
    <w:p>
      <w:pPr>
        <w:pStyle w:val="ListParagraph"/>
        <w:numPr>
          <w:ilvl w:val="0"/>
          <w:numId w:val="2"/>
        </w:numPr>
        <w:spacing w:after="200"/>
      </w:pPr>
      <w:r>
        <w:rPr>
          <w:b/>
          <w:bCs/>
        </w:rPr>
        <w:t xml:space="preserve">Provides interpretable metrics: </w:t>
      </w:r>
      <w:r>
        <w:t xml:space="preserve">"75% of predictions were in the expected direction" is more meaningful than "12 of 180 tests were significant"</w:t>
      </w:r>
    </w:p>
    <w:p>
      <w:pPr>
        <w:pStyle w:val="Heading1"/>
      </w:pPr>
      <w:r>
        <w:t xml:space="preserve">How It Works</w:t>
      </w:r>
    </w:p>
    <w:p>
      <w:pPr>
        <w:pStyle w:val="Heading2"/>
      </w:pPr>
      <w:r>
        <w:t xml:space="preserve">Step 1: Specify Directional Predictions</w:t>
      </w:r>
    </w:p>
    <w:p>
      <w:pPr>
        <w:spacing w:after="200"/>
      </w:pPr>
      <w:r>
        <w:t xml:space="preserve">Based on your theoretical framework, specify the </w:t>
      </w:r>
      <w:r>
        <w:rPr>
          <w:i/>
          <w:iCs/>
        </w:rPr>
        <w:t xml:space="preserve">expected direction</w:t>
      </w:r>
      <w:r>
        <w:t xml:space="preserve"> of each effect. For example:</w:t>
      </w:r>
    </w:p>
    <w:p>
      <w:pPr>
        <w:pStyle w:val="ListParagraph"/>
        <w:numPr>
          <w:ilvl w:val="0"/>
          <w:numId w:val="3"/>
        </w:numPr>
      </w:pPr>
      <w:r>
        <w:t xml:space="preserve">Negative Affectivity × Stress Reactivity → expected </w:t>
      </w:r>
      <w:r>
        <w:rPr>
          <w:b/>
          <w:bCs/>
        </w:rPr>
        <w:t xml:space="preserve">positive</w:t>
      </w:r>
      <w:r>
        <w:t xml:space="preserve"> (NA amplifies stress-induced pitch increase)</w:t>
      </w:r>
    </w:p>
    <w:p>
      <w:pPr>
        <w:pStyle w:val="ListParagraph"/>
        <w:numPr>
          <w:ilvl w:val="0"/>
          <w:numId w:val="3"/>
        </w:numPr>
      </w:pPr>
      <w:r>
        <w:t xml:space="preserve">Detachment × Recovery → expected </w:t>
      </w:r>
      <w:r>
        <w:rPr>
          <w:b/>
          <w:bCs/>
        </w:rPr>
        <w:t xml:space="preserve">negative</w:t>
      </w:r>
      <w:r>
        <w:t xml:space="preserve"> (Detachment impairs return to baseline)</w:t>
      </w:r>
    </w:p>
    <w:p>
      <w:pPr>
        <w:pStyle w:val="ListParagraph"/>
        <w:numPr>
          <w:ilvl w:val="0"/>
          <w:numId w:val="3"/>
        </w:numPr>
      </w:pPr>
      <w:r>
        <w:t xml:space="preserve">Antagonism × Recovery → expected </w:t>
      </w:r>
      <w:r>
        <w:rPr>
          <w:b/>
          <w:bCs/>
        </w:rPr>
        <w:t xml:space="preserve">positive</w:t>
      </w:r>
      <w:r>
        <w:t xml:space="preserve"> (Antagonism facilitates recovery)</w:t>
      </w:r>
    </w:p>
    <w:p>
      <w:pPr>
        <w:pStyle w:val="ListParagraph"/>
        <w:numPr>
          <w:ilvl w:val="0"/>
          <w:numId w:val="3"/>
        </w:numPr>
        <w:spacing w:after="200"/>
      </w:pPr>
      <w:r>
        <w:t xml:space="preserve">Effects where you have no strong directional prediction → coded as </w:t>
      </w:r>
      <w:r>
        <w:rPr>
          <w:b/>
          <w:bCs/>
        </w:rPr>
        <w:t xml:space="preserve">0</w:t>
      </w:r>
      <w:r>
        <w:t xml:space="preserve"> (excluded from analysis)</w:t>
      </w:r>
    </w:p>
    <w:p>
      <w:pPr>
        <w:pStyle w:val="Heading2"/>
      </w:pPr>
      <w:r>
        <w:t xml:space="preserve">Step 2: Compute Per-Draw Conformity</w:t>
      </w:r>
    </w:p>
    <w:p>
      <w:pPr>
        <w:spacing w:after="120"/>
      </w:pPr>
      <w:r>
        <w:t xml:space="preserve">For each MCMC posterior draw (e.g., 4,000 draws per model):</w:t>
      </w:r>
    </w:p>
    <w:p>
      <w:pPr>
        <w:pStyle w:val="ListParagraph"/>
        <w:numPr>
          <w:ilvl w:val="0"/>
          <w:numId w:val="2"/>
        </w:numPr>
      </w:pPr>
      <w:r>
        <w:t xml:space="preserve">Extract the sampled value for each interaction parameter</w:t>
      </w:r>
    </w:p>
    <w:p>
      <w:pPr>
        <w:pStyle w:val="ListParagraph"/>
        <w:numPr>
          <w:ilvl w:val="0"/>
          <w:numId w:val="2"/>
        </w:numPr>
      </w:pPr>
      <w:r>
        <w:t xml:space="preserve">Check: is this value in the predicted direction?</w:t>
      </w:r>
    </w:p>
    <w:p>
      <w:pPr>
        <w:pStyle w:val="ListParagraph"/>
        <w:numPr>
          <w:ilvl w:val="0"/>
          <w:numId w:val="2"/>
        </w:numPr>
        <w:spacing w:after="200"/>
      </w:pPr>
      <w:r>
        <w:t xml:space="preserve">Record: conformity</w:t>
      </w:r>
      <w:r>
        <w:rPr>
          <w:vertAlign w:val="subscript"/>
        </w:rPr>
        <w:t xml:space="preserve">draw,prediction</w:t>
      </w:r>
      <w:r>
        <w:t xml:space="preserve"> = 1 if yes, 0 if no</w:t>
      </w:r>
    </w:p>
    <w:p>
      <w:pPr>
        <w:spacing w:after="200"/>
      </w:pPr>
      <w:r>
        <w:rPr>
          <w:b/>
          <w:bCs/>
        </w:rPr>
        <w:t xml:space="preserve">Key insight: </w:t>
      </w:r>
      <w:r>
        <w:t xml:space="preserve">Within each posterior draw, all parameter values are from the </w:t>
      </w:r>
      <w:r>
        <w:rPr>
          <w:i/>
          <w:iCs/>
        </w:rPr>
        <w:t xml:space="preserve">same</w:t>
      </w:r>
      <w:r>
        <w:t xml:space="preserve"> sample of the joint posterior. This means correlations between effects are naturally preserved.</w:t>
      </w:r>
    </w:p>
    <w:p>
      <w:pPr>
        <w:pStyle w:val="Heading2"/>
      </w:pPr>
      <w:r>
        <w:t xml:space="preserve">Step 3: Aggregate Conformity Metrics</w:t>
      </w:r>
    </w:p>
    <w:p>
      <w:pPr>
        <w:spacing w:after="120"/>
      </w:pPr>
      <w:r>
        <w:t xml:space="preserve">From the conformity matrix, compute: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e2e8f0" w:val="clear"/>
          </w:tcPr>
          <w:p>
            <w:pPr>
              <w:jc w:val="center"/>
            </w:pPr>
            <w:r>
              <w:rPr>
                <w:b/>
                <w:bCs/>
              </w:rPr>
              <w:t xml:space="preserve">Metric</w:t>
            </w:r>
          </w:p>
        </w:tc>
        <w:tc>
          <w:tcPr>
            <w:tcW w:type="dxa" w:w="6860"/>
            <w:tcBorders>
              <w:top w:val="single" w:color="CCCCCC" w:sz="1"/>
              <w:left w:val="single" w:color="CCCCCC" w:sz="1"/>
              <w:bottom w:val="single" w:color="CCCCCC" w:sz="1"/>
              <w:right w:val="single" w:color="CCCCCC" w:sz="1"/>
            </w:tcBorders>
            <w:shd w:fill="e2e8f0" w:val="clear"/>
          </w:tcPr>
          <w:p>
            <w:pPr>
              <w:jc w:val="center"/>
            </w:pPr>
            <w:r>
              <w:rPr>
                <w:b/>
                <w:bCs/>
              </w:rPr>
              <w:t xml:space="preserve">Description &amp; Interpretation</w:t>
            </w:r>
          </w:p>
        </w:tc>
      </w:tr>
      <w:tr>
        <w:tc>
          <w:tcPr>
            <w:tcW w:type="dxa" w:w="2500"/>
            <w:tcBorders>
              <w:top w:val="single" w:color="CCCCCC" w:sz="1"/>
              <w:left w:val="single" w:color="CCCCCC" w:sz="1"/>
              <w:bottom w:val="single" w:color="CCCCCC" w:sz="1"/>
              <w:right w:val="single" w:color="CCCCCC" w:sz="1"/>
            </w:tcBorders>
          </w:tcPr>
          <w:p>
            <w:r>
              <w:rPr>
                <w:b/>
                <w:bCs/>
              </w:rPr>
              <w:t xml:space="preserve">Proportion Conforming</w:t>
            </w:r>
          </w:p>
        </w:tc>
        <w:tc>
          <w:tcPr>
            <w:tcW w:type="dxa" w:w="6860"/>
            <w:tcBorders>
              <w:top w:val="single" w:color="CCCCCC" w:sz="1"/>
              <w:left w:val="single" w:color="CCCCCC" w:sz="1"/>
              <w:bottom w:val="single" w:color="CCCCCC" w:sz="1"/>
              <w:right w:val="single" w:color="CCCCCC" w:sz="1"/>
            </w:tcBorders>
          </w:tcPr>
          <w:p>
            <w:r>
              <w:t xml:space="preserve">For each draw: what fraction of predictions are in the expected direction? This gives a </w:t>
            </w:r>
            <w:r>
              <w:rPr>
                <w:i/>
                <w:iCs/>
              </w:rPr>
              <w:t xml:space="preserve">posterior distribution</w:t>
            </w:r>
            <w:r>
              <w:t xml:space="preserve"> over pattern conformity. Report mean and 95% CI.</w:t>
            </w:r>
          </w:p>
        </w:tc>
      </w:tr>
      <w:tr>
        <w:tc>
          <w:tcPr>
            <w:tcW w:type="dxa" w:w="2500"/>
            <w:tcBorders>
              <w:top w:val="single" w:color="CCCCCC" w:sz="1"/>
              <w:left w:val="single" w:color="CCCCCC" w:sz="1"/>
              <w:bottom w:val="single" w:color="CCCCCC" w:sz="1"/>
              <w:right w:val="single" w:color="CCCCCC" w:sz="1"/>
            </w:tcBorders>
          </w:tcPr>
          <w:p>
            <w:r>
              <w:rPr>
                <w:b/>
                <w:bCs/>
              </w:rPr>
              <w:t xml:space="preserve">P(better than chance)</w:t>
            </w:r>
          </w:p>
        </w:tc>
        <w:tc>
          <w:tcPr>
            <w:tcW w:type="dxa" w:w="6860"/>
            <w:tcBorders>
              <w:top w:val="single" w:color="CCCCCC" w:sz="1"/>
              <w:left w:val="single" w:color="CCCCCC" w:sz="1"/>
              <w:bottom w:val="single" w:color="CCCCCC" w:sz="1"/>
              <w:right w:val="single" w:color="CCCCCC" w:sz="1"/>
            </w:tcBorders>
          </w:tcPr>
          <w:p>
            <w:r>
              <w:t xml:space="preserve">Posterior probability that conformity exceeds 50% (chance level). Values &gt; 95% indicate strong evidence the pattern holds.</w:t>
            </w:r>
          </w:p>
        </w:tc>
      </w:tr>
      <w:tr>
        <w:tc>
          <w:tcPr>
            <w:tcW w:type="dxa" w:w="2500"/>
            <w:tcBorders>
              <w:top w:val="single" w:color="CCCCCC" w:sz="1"/>
              <w:left w:val="single" w:color="CCCCCC" w:sz="1"/>
              <w:bottom w:val="single" w:color="CCCCCC" w:sz="1"/>
              <w:right w:val="single" w:color="CCCCCC" w:sz="1"/>
            </w:tcBorders>
          </w:tcPr>
          <w:p>
            <w:r>
              <w:rPr>
                <w:b/>
                <w:bCs/>
              </w:rPr>
              <w:t xml:space="preserve">Combined PD</w:t>
            </w:r>
          </w:p>
        </w:tc>
        <w:tc>
          <w:tcPr>
            <w:tcW w:type="dxa" w:w="6860"/>
            <w:tcBorders>
              <w:top w:val="single" w:color="CCCCCC" w:sz="1"/>
              <w:left w:val="single" w:color="CCCCCC" w:sz="1"/>
              <w:bottom w:val="single" w:color="CCCCCC" w:sz="1"/>
              <w:right w:val="single" w:color="CCCCCC" w:sz="1"/>
            </w:tcBorders>
          </w:tcPr>
          <w:p>
            <w:r>
              <w:t xml:space="preserve">Aggregate Probability of Direction using log-odds averaging. More robust than raw product. Values &gt; 80% suggest strong directional consistency.</w:t>
            </w:r>
          </w:p>
        </w:tc>
      </w:tr>
      <w:tr>
        <w:tc>
          <w:tcPr>
            <w:tcW w:type="dxa" w:w="2500"/>
            <w:tcBorders>
              <w:top w:val="single" w:color="CCCCCC" w:sz="1"/>
              <w:left w:val="single" w:color="CCCCCC" w:sz="1"/>
              <w:bottom w:val="single" w:color="CCCCCC" w:sz="1"/>
              <w:right w:val="single" w:color="CCCCCC" w:sz="1"/>
            </w:tcBorders>
          </w:tcPr>
          <w:p>
            <w:r>
              <w:rPr>
                <w:b/>
                <w:bCs/>
              </w:rPr>
              <w:t xml:space="preserve">P(all conform)</w:t>
            </w:r>
          </w:p>
        </w:tc>
        <w:tc>
          <w:tcPr>
            <w:tcW w:type="dxa" w:w="6860"/>
            <w:tcBorders>
              <w:top w:val="single" w:color="CCCCCC" w:sz="1"/>
              <w:left w:val="single" w:color="CCCCCC" w:sz="1"/>
              <w:bottom w:val="single" w:color="CCCCCC" w:sz="1"/>
              <w:right w:val="single" w:color="CCCCCC" w:sz="1"/>
            </w:tcBorders>
          </w:tcPr>
          <w:p>
            <w:r>
              <w:t xml:space="preserve">Probability that ALL predictions simultaneously hold. Very stringent—expect this to be low unless effects are very strong. Useful as a ceiling test.</w:t>
            </w:r>
          </w:p>
        </w:tc>
      </w:tr>
      <w:tr>
        <w:tc>
          <w:tcPr>
            <w:tcW w:type="dxa" w:w="2500"/>
            <w:tcBorders>
              <w:top w:val="single" w:color="CCCCCC" w:sz="1"/>
              <w:left w:val="single" w:color="CCCCCC" w:sz="1"/>
              <w:bottom w:val="single" w:color="CCCCCC" w:sz="1"/>
              <w:right w:val="single" w:color="CCCCCC" w:sz="1"/>
            </w:tcBorders>
          </w:tcPr>
          <w:p>
            <w:r>
              <w:rPr>
                <w:b/>
                <w:bCs/>
              </w:rPr>
              <w:t xml:space="preserve">Conformity Effect Size</w:t>
            </w:r>
          </w:p>
        </w:tc>
        <w:tc>
          <w:tcPr>
            <w:tcW w:type="dxa" w:w="6860"/>
            <w:tcBorders>
              <w:top w:val="single" w:color="CCCCCC" w:sz="1"/>
              <w:left w:val="single" w:color="CCCCCC" w:sz="1"/>
              <w:bottom w:val="single" w:color="CCCCCC" w:sz="1"/>
              <w:right w:val="single" w:color="CCCCCC" w:sz="1"/>
            </w:tcBorders>
          </w:tcPr>
          <w:p>
            <w:r>
              <w:t xml:space="preserve">Mean(proportion conforming) − 0.5. How much better than chance? Values of 0.15+ (65% conformity) suggest meaningful pattern alignment.</w:t>
            </w:r>
          </w:p>
        </w:tc>
      </w:tr>
    </w:tbl>
    <w:p>
      <w:pPr>
        <w:spacing w:before="300" w:after="200"/>
      </w:pPr>
    </w:p>
    <w:p>
      <w:pPr>
        <w:pStyle w:val="Heading1"/>
      </w:pPr>
      <w:r>
        <w:t xml:space="preserve">Theoretical Justification</w:t>
      </w:r>
    </w:p>
    <w:p>
      <w:pPr>
        <w:pStyle w:val="Heading2"/>
      </w:pPr>
      <w:r>
        <w:t xml:space="preserve">Why This Isn't Just "Counting Significant Effects"</w:t>
      </w:r>
    </w:p>
    <w:p>
      <w:pPr>
        <w:spacing w:after="200"/>
      </w:pPr>
      <w:r>
        <w:t xml:space="preserve">A naive approach might be: "count how many effects have 95% CIs excluding zero." This is problematic because:</w:t>
      </w:r>
    </w:p>
    <w:p>
      <w:pPr>
        <w:pStyle w:val="ListParagraph"/>
        <w:numPr>
          <w:ilvl w:val="0"/>
          <w:numId w:val="3"/>
        </w:numPr>
      </w:pPr>
      <w:r>
        <w:t xml:space="preserve">It treats CI boundaries as sharp cutoffs, ignoring posterior uncertainty</w:t>
      </w:r>
    </w:p>
    <w:p>
      <w:pPr>
        <w:pStyle w:val="ListParagraph"/>
        <w:numPr>
          <w:ilvl w:val="0"/>
          <w:numId w:val="3"/>
        </w:numPr>
      </w:pPr>
      <w:r>
        <w:t xml:space="preserve">It doesn't account for the expected direction—an effect could "significantly" go the wrong way</w:t>
      </w:r>
    </w:p>
    <w:p>
      <w:pPr>
        <w:pStyle w:val="ListParagraph"/>
        <w:numPr>
          <w:ilvl w:val="0"/>
          <w:numId w:val="3"/>
        </w:numPr>
        <w:spacing w:after="200"/>
      </w:pPr>
      <w:r>
        <w:t xml:space="preserve">It ignores the correlation structure between effects</w:t>
      </w:r>
    </w:p>
    <w:p>
      <w:pPr>
        <w:spacing w:after="200"/>
      </w:pPr>
      <w:r>
        <w:t xml:space="preserve">The pattern conformity approach uses the </w:t>
      </w:r>
      <w:r>
        <w:rPr>
          <w:b/>
          <w:bCs/>
        </w:rPr>
        <w:t xml:space="preserve">full posterior</w:t>
      </w:r>
      <w:r>
        <w:t xml:space="preserve"> and asks: across all plausible parameter values, how often does the theoretical pattern hold?</w:t>
      </w:r>
    </w:p>
    <w:p>
      <w:pPr>
        <w:pStyle w:val="Heading2"/>
      </w:pPr>
      <w:r>
        <w:t xml:space="preserve">Connection to Bayes Factors</w:t>
      </w:r>
    </w:p>
    <w:p>
      <w:pPr>
        <w:spacing w:after="200"/>
      </w:pPr>
      <w:r>
        <w:t xml:space="preserve">This approach is conceptually similar to computing a Bayes Factor comparing:</w:t>
      </w:r>
    </w:p>
    <w:p>
      <w:pPr>
        <w:pStyle w:val="ListParagraph"/>
        <w:numPr>
          <w:ilvl w:val="0"/>
          <w:numId w:val="3"/>
        </w:numPr>
      </w:pPr>
      <w:r>
        <w:rPr>
          <w:b/>
          <w:bCs/>
        </w:rPr>
        <w:t xml:space="preserve">H₁ (Theory): </w:t>
      </w:r>
      <w:r>
        <w:t xml:space="preserve">Effects follow predicted directions</w:t>
      </w:r>
    </w:p>
    <w:p>
      <w:pPr>
        <w:pStyle w:val="ListParagraph"/>
        <w:numPr>
          <w:ilvl w:val="0"/>
          <w:numId w:val="3"/>
        </w:numPr>
        <w:spacing w:after="200"/>
      </w:pPr>
      <w:r>
        <w:rPr>
          <w:b/>
          <w:bCs/>
        </w:rPr>
        <w:t xml:space="preserve">H₀ (Null): </w:t>
      </w:r>
      <w:r>
        <w:t xml:space="preserve">Effects are random (50% chance of either direction)</w:t>
      </w:r>
    </w:p>
    <w:p>
      <w:pPr>
        <w:spacing w:after="200"/>
      </w:pPr>
      <w:r>
        <w:t xml:space="preserve">The P(better than chance) metric is essentially a one-sided posterior probability that can be converted to a Bayes Factor using: BF = P(conform &gt; 0.5) / P(conform &lt; 0.5)</w:t>
      </w:r>
    </w:p>
    <w:p>
      <w:r>
        <w:br w:type="page"/>
      </w:r>
    </w:p>
    <w:p>
      <w:pPr>
        <w:pStyle w:val="Heading1"/>
      </w:pPr>
      <w:r>
        <w:t xml:space="preserve">Specifying Your Theoretical Predictions</w:t>
      </w:r>
    </w:p>
    <w:p>
      <w:pPr>
        <w:spacing w:after="200"/>
      </w:pPr>
      <w:r>
        <w:t xml:space="preserve">Based on your abstract and theoretical framework, here are suggested directional predictions. </w:t>
      </w:r>
      <w:r>
        <w:rPr>
          <w:b/>
          <w:bCs/>
        </w:rPr>
        <w:t xml:space="preserve">You should review and adjust these based on your specific hypotheses.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1300"/>
        <w:gridCol w:w="2260"/>
      </w:tblGrid>
      <w:tr>
        <w:trPr>
          <w:tblHeader/>
        </w:trPr>
        <w:tc>
          <w:tcPr>
            <w:tcW w:type="dxa" w:w="2000"/>
            <w:tcBorders>
              <w:top w:val="single" w:color="CCCCCC" w:sz="1"/>
              <w:left w:val="single" w:color="CCCCCC" w:sz="1"/>
              <w:bottom w:val="single" w:color="CCCCCC" w:sz="1"/>
              <w:right w:val="single" w:color="CCCCCC" w:sz="1"/>
            </w:tcBorders>
            <w:shd w:fill="e2e8f0" w:val="clear"/>
          </w:tcPr>
          <w:p>
            <w:pPr>
              <w:jc w:val="center"/>
            </w:pPr>
            <w:r>
              <w:rPr>
                <w:b/>
                <w:bCs/>
                <w:sz w:val="20"/>
                <w:szCs w:val="20"/>
              </w:rPr>
              <w:t xml:space="preserve">PID-5 Domain</w:t>
            </w:r>
          </w:p>
        </w:tc>
        <w:tc>
          <w:tcPr>
            <w:tcW w:type="dxa" w:w="1800"/>
            <w:tcBorders>
              <w:top w:val="single" w:color="CCCCCC" w:sz="1"/>
              <w:left w:val="single" w:color="CCCCCC" w:sz="1"/>
              <w:bottom w:val="single" w:color="CCCCCC" w:sz="1"/>
              <w:right w:val="single" w:color="CCCCCC" w:sz="1"/>
            </w:tcBorders>
            <w:shd w:fill="e2e8f0" w:val="clear"/>
          </w:tcPr>
          <w:p>
            <w:pPr>
              <w:jc w:val="center"/>
            </w:pPr>
            <w:r>
              <w:rPr>
                <w:b/>
                <w:bCs/>
                <w:sz w:val="20"/>
                <w:szCs w:val="20"/>
              </w:rPr>
              <w:t xml:space="preserve">× Stress Reactivity</w:t>
            </w:r>
          </w:p>
        </w:tc>
        <w:tc>
          <w:tcPr>
            <w:tcW w:type="dxa" w:w="2000"/>
            <w:tcBorders>
              <w:top w:val="single" w:color="CCCCCC" w:sz="1"/>
              <w:left w:val="single" w:color="CCCCCC" w:sz="1"/>
              <w:bottom w:val="single" w:color="CCCCCC" w:sz="1"/>
              <w:right w:val="single" w:color="CCCCCC" w:sz="1"/>
            </w:tcBorders>
            <w:shd w:fill="e2e8f0" w:val="clear"/>
          </w:tcPr>
          <w:p>
            <w:pPr>
              <w:jc w:val="center"/>
            </w:pPr>
            <w:r>
              <w:rPr>
                <w:b/>
                <w:bCs/>
                <w:sz w:val="20"/>
                <w:szCs w:val="20"/>
              </w:rPr>
              <w:t xml:space="preserve">× Recovery</w:t>
            </w:r>
          </w:p>
        </w:tc>
        <w:tc>
          <w:tcPr>
            <w:tcW w:type="dxa" w:w="1300"/>
            <w:tcBorders>
              <w:top w:val="single" w:color="CCCCCC" w:sz="1"/>
              <w:left w:val="single" w:color="CCCCCC" w:sz="1"/>
              <w:bottom w:val="single" w:color="CCCCCC" w:sz="1"/>
              <w:right w:val="single" w:color="CCCCCC" w:sz="1"/>
            </w:tcBorders>
            <w:shd w:fill="e2e8f0" w:val="clear"/>
          </w:tcPr>
          <w:p>
            <w:pPr>
              <w:jc w:val="center"/>
            </w:pPr>
            <w:r>
              <w:rPr>
                <w:b/>
                <w:bCs/>
                <w:sz w:val="20"/>
                <w:szCs w:val="20"/>
              </w:rPr>
              <w:t xml:space="preserve">Main Effect</w:t>
            </w:r>
          </w:p>
        </w:tc>
        <w:tc>
          <w:tcPr>
            <w:tcW w:type="dxa" w:w="2260"/>
            <w:tcBorders>
              <w:top w:val="single" w:color="CCCCCC" w:sz="1"/>
              <w:left w:val="single" w:color="CCCCCC" w:sz="1"/>
              <w:bottom w:val="single" w:color="CCCCCC" w:sz="1"/>
              <w:right w:val="single" w:color="CCCCCC" w:sz="1"/>
            </w:tcBorders>
            <w:shd w:fill="e2e8f0" w:val="clear"/>
          </w:tcPr>
          <w:p>
            <w:pPr>
              <w:jc w:val="center"/>
            </w:pPr>
            <w:r>
              <w:rPr>
                <w:b/>
                <w:bCs/>
                <w:sz w:val="20"/>
                <w:szCs w:val="20"/>
              </w:rPr>
              <w:t xml:space="preserve">Rationale</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Negative Affectivity</w:t>
            </w:r>
          </w:p>
        </w:tc>
        <w:tc>
          <w:tcPr>
            <w:tcW w:type="dxa" w:w="1800"/>
            <w:tcBorders>
              <w:top w:val="single" w:color="CCCCCC" w:sz="1"/>
              <w:left w:val="single" w:color="CCCCCC" w:sz="1"/>
              <w:bottom w:val="single" w:color="CCCCCC" w:sz="1"/>
              <w:right w:val="single" w:color="CCCCCC" w:sz="1"/>
            </w:tcBorders>
          </w:tcPr>
          <w:p>
            <w:pPr>
              <w:jc w:val="center"/>
            </w:pPr>
            <w:r>
              <w:rPr>
                <w:b/>
                <w:bCs/>
                <w:color w:val="38a169"/>
                <w:sz w:val="20"/>
                <w:szCs w:val="20"/>
              </w:rPr>
              <w:t xml:space="preserve">+ (amplifies)</w:t>
            </w:r>
          </w:p>
        </w:tc>
        <w:tc>
          <w:tcPr>
            <w:tcW w:type="dxa" w:w="2000"/>
            <w:tcBorders>
              <w:top w:val="single" w:color="CCCCCC" w:sz="1"/>
              <w:left w:val="single" w:color="CCCCCC" w:sz="1"/>
              <w:bottom w:val="single" w:color="CCCCCC" w:sz="1"/>
              <w:right w:val="single" w:color="CCCCCC" w:sz="1"/>
            </w:tcBorders>
          </w:tcPr>
          <w:p>
            <w:pPr>
              <w:jc w:val="center"/>
            </w:pPr>
            <w:r>
              <w:rPr>
                <w:b/>
                <w:bCs/>
                <w:color w:val="e53e3e"/>
                <w:sz w:val="20"/>
                <w:szCs w:val="20"/>
              </w:rPr>
              <w:t xml:space="preserve">− (impairs)</w:t>
            </w:r>
          </w:p>
        </w:tc>
        <w:tc>
          <w:tcPr>
            <w:tcW w:type="dxa" w:w="1300"/>
            <w:tcBorders>
              <w:top w:val="single" w:color="CCCCCC" w:sz="1"/>
              <w:left w:val="single" w:color="CCCCCC" w:sz="1"/>
              <w:bottom w:val="single" w:color="CCCCCC" w:sz="1"/>
              <w:right w:val="single" w:color="CCCCCC" w:sz="1"/>
            </w:tcBorders>
          </w:tcPr>
          <w:p>
            <w:pPr>
              <w:jc w:val="center"/>
            </w:pPr>
            <w:r>
              <w:rPr>
                <w:sz w:val="20"/>
                <w:szCs w:val="20"/>
              </w:rPr>
              <w:t xml:space="preserve">0</w:t>
            </w:r>
          </w:p>
        </w:tc>
        <w:tc>
          <w:tcPr>
            <w:tcW w:type="dxa" w:w="2260"/>
            <w:tcBorders>
              <w:top w:val="single" w:color="CCCCCC" w:sz="1"/>
              <w:left w:val="single" w:color="CCCCCC" w:sz="1"/>
              <w:bottom w:val="single" w:color="CCCCCC" w:sz="1"/>
              <w:right w:val="single" w:color="CCCCCC" w:sz="1"/>
            </w:tcBorders>
          </w:tcPr>
          <w:p>
            <w:r>
              <w:rPr>
                <w:sz w:val="20"/>
                <w:szCs w:val="20"/>
              </w:rPr>
              <w:t xml:space="preserve">Heightened emotional reactivity</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Detachment</w:t>
            </w:r>
          </w:p>
        </w:tc>
        <w:tc>
          <w:tcPr>
            <w:tcW w:type="dxa" w:w="1800"/>
            <w:tcBorders>
              <w:top w:val="single" w:color="CCCCCC" w:sz="1"/>
              <w:left w:val="single" w:color="CCCCCC" w:sz="1"/>
              <w:bottom w:val="single" w:color="CCCCCC" w:sz="1"/>
              <w:right w:val="single" w:color="CCCCCC" w:sz="1"/>
            </w:tcBorders>
          </w:tcPr>
          <w:p>
            <w:pPr>
              <w:jc w:val="center"/>
            </w:pPr>
            <w:r>
              <w:rPr>
                <w:b/>
                <w:bCs/>
                <w:color w:val="e53e3e"/>
                <w:sz w:val="20"/>
                <w:szCs w:val="20"/>
              </w:rPr>
              <w:t xml:space="preserve">− (blunts)</w:t>
            </w:r>
          </w:p>
        </w:tc>
        <w:tc>
          <w:tcPr>
            <w:tcW w:type="dxa" w:w="2000"/>
            <w:tcBorders>
              <w:top w:val="single" w:color="CCCCCC" w:sz="1"/>
              <w:left w:val="single" w:color="CCCCCC" w:sz="1"/>
              <w:bottom w:val="single" w:color="CCCCCC" w:sz="1"/>
              <w:right w:val="single" w:color="CCCCCC" w:sz="1"/>
            </w:tcBorders>
          </w:tcPr>
          <w:p>
            <w:pPr>
              <w:jc w:val="center"/>
            </w:pPr>
            <w:r>
              <w:rPr>
                <w:b/>
                <w:bCs/>
                <w:color w:val="e53e3e"/>
                <w:sz w:val="20"/>
                <w:szCs w:val="20"/>
              </w:rPr>
              <w:t xml:space="preserve">− (impairs)</w:t>
            </w:r>
          </w:p>
        </w:tc>
        <w:tc>
          <w:tcPr>
            <w:tcW w:type="dxa" w:w="1300"/>
            <w:tcBorders>
              <w:top w:val="single" w:color="CCCCCC" w:sz="1"/>
              <w:left w:val="single" w:color="CCCCCC" w:sz="1"/>
              <w:bottom w:val="single" w:color="CCCCCC" w:sz="1"/>
              <w:right w:val="single" w:color="CCCCCC" w:sz="1"/>
            </w:tcBorders>
          </w:tcPr>
          <w:p>
            <w:pPr>
              <w:jc w:val="center"/>
            </w:pPr>
            <w:r>
              <w:rPr>
                <w:sz w:val="20"/>
                <w:szCs w:val="20"/>
              </w:rPr>
              <w:t xml:space="preserve">0</w:t>
            </w:r>
          </w:p>
        </w:tc>
        <w:tc>
          <w:tcPr>
            <w:tcW w:type="dxa" w:w="2260"/>
            <w:tcBorders>
              <w:top w:val="single" w:color="CCCCCC" w:sz="1"/>
              <w:left w:val="single" w:color="CCCCCC" w:sz="1"/>
              <w:bottom w:val="single" w:color="CCCCCC" w:sz="1"/>
              <w:right w:val="single" w:color="CCCCCC" w:sz="1"/>
            </w:tcBorders>
          </w:tcPr>
          <w:p>
            <w:r>
              <w:rPr>
                <w:sz w:val="20"/>
                <w:szCs w:val="20"/>
              </w:rPr>
              <w:t xml:space="preserve">Emotional withdrawal, flat affect</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Antagonism</w:t>
            </w:r>
          </w:p>
        </w:tc>
        <w:tc>
          <w:tcPr>
            <w:tcW w:type="dxa" w:w="1800"/>
            <w:tcBorders>
              <w:top w:val="single" w:color="CCCCCC" w:sz="1"/>
              <w:left w:val="single" w:color="CCCCCC" w:sz="1"/>
              <w:bottom w:val="single" w:color="CCCCCC" w:sz="1"/>
              <w:right w:val="single" w:color="CCCCCC" w:sz="1"/>
            </w:tcBorders>
          </w:tcPr>
          <w:p>
            <w:pPr>
              <w:jc w:val="center"/>
            </w:pPr>
            <w:r>
              <w:rPr>
                <w:sz w:val="20"/>
                <w:szCs w:val="20"/>
              </w:rPr>
              <w:t xml:space="preserve">0 (no prediction)</w:t>
            </w:r>
          </w:p>
        </w:tc>
        <w:tc>
          <w:tcPr>
            <w:tcW w:type="dxa" w:w="2000"/>
            <w:tcBorders>
              <w:top w:val="single" w:color="CCCCCC" w:sz="1"/>
              <w:left w:val="single" w:color="CCCCCC" w:sz="1"/>
              <w:bottom w:val="single" w:color="CCCCCC" w:sz="1"/>
              <w:right w:val="single" w:color="CCCCCC" w:sz="1"/>
            </w:tcBorders>
          </w:tcPr>
          <w:p>
            <w:pPr>
              <w:jc w:val="center"/>
            </w:pPr>
            <w:r>
              <w:rPr>
                <w:b/>
                <w:bCs/>
                <w:color w:val="38a169"/>
                <w:sz w:val="20"/>
                <w:szCs w:val="20"/>
              </w:rPr>
              <w:t xml:space="preserve">+ (facilitates)</w:t>
            </w:r>
          </w:p>
        </w:tc>
        <w:tc>
          <w:tcPr>
            <w:tcW w:type="dxa" w:w="1300"/>
            <w:tcBorders>
              <w:top w:val="single" w:color="CCCCCC" w:sz="1"/>
              <w:left w:val="single" w:color="CCCCCC" w:sz="1"/>
              <w:bottom w:val="single" w:color="CCCCCC" w:sz="1"/>
              <w:right w:val="single" w:color="CCCCCC" w:sz="1"/>
            </w:tcBorders>
          </w:tcPr>
          <w:p>
            <w:pPr>
              <w:jc w:val="center"/>
            </w:pPr>
            <w:r>
              <w:rPr>
                <w:sz w:val="20"/>
                <w:szCs w:val="20"/>
              </w:rPr>
              <w:t xml:space="preserve">0</w:t>
            </w:r>
          </w:p>
        </w:tc>
        <w:tc>
          <w:tcPr>
            <w:tcW w:type="dxa" w:w="2260"/>
            <w:tcBorders>
              <w:top w:val="single" w:color="CCCCCC" w:sz="1"/>
              <w:left w:val="single" w:color="CCCCCC" w:sz="1"/>
              <w:bottom w:val="single" w:color="CCCCCC" w:sz="1"/>
              <w:right w:val="single" w:color="CCCCCC" w:sz="1"/>
            </w:tcBorders>
          </w:tcPr>
          <w:p>
            <w:r>
              <w:rPr>
                <w:sz w:val="20"/>
                <w:szCs w:val="20"/>
              </w:rPr>
              <w:t xml:space="preserve">Callousness aids rapid recovery</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Disinhibition</w:t>
            </w:r>
          </w:p>
        </w:tc>
        <w:tc>
          <w:tcPr>
            <w:tcW w:type="dxa" w:w="1800"/>
            <w:tcBorders>
              <w:top w:val="single" w:color="CCCCCC" w:sz="1"/>
              <w:left w:val="single" w:color="CCCCCC" w:sz="1"/>
              <w:bottom w:val="single" w:color="CCCCCC" w:sz="1"/>
              <w:right w:val="single" w:color="CCCCCC" w:sz="1"/>
            </w:tcBorders>
          </w:tcPr>
          <w:p>
            <w:pPr>
              <w:jc w:val="center"/>
            </w:pPr>
            <w:r>
              <w:rPr>
                <w:b/>
                <w:bCs/>
                <w:sz w:val="20"/>
                <w:szCs w:val="20"/>
              </w:rPr>
              <w:t xml:space="preserve">+ on F2 only</w:t>
            </w:r>
          </w:p>
        </w:tc>
        <w:tc>
          <w:tcPr>
            <w:tcW w:type="dxa" w:w="2000"/>
            <w:tcBorders>
              <w:top w:val="single" w:color="CCCCCC" w:sz="1"/>
              <w:left w:val="single" w:color="CCCCCC" w:sz="1"/>
              <w:bottom w:val="single" w:color="CCCCCC" w:sz="1"/>
              <w:right w:val="single" w:color="CCCCCC" w:sz="1"/>
            </w:tcBorders>
          </w:tcPr>
          <w:p>
            <w:pPr>
              <w:jc w:val="center"/>
            </w:pPr>
            <w:r>
              <w:rPr>
                <w:sz w:val="20"/>
                <w:szCs w:val="20"/>
              </w:rPr>
              <w:t xml:space="preserve">0</w:t>
            </w:r>
          </w:p>
        </w:tc>
        <w:tc>
          <w:tcPr>
            <w:tcW w:type="dxa" w:w="1300"/>
            <w:tcBorders>
              <w:top w:val="single" w:color="CCCCCC" w:sz="1"/>
              <w:left w:val="single" w:color="CCCCCC" w:sz="1"/>
              <w:bottom w:val="single" w:color="CCCCCC" w:sz="1"/>
              <w:right w:val="single" w:color="CCCCCC" w:sz="1"/>
            </w:tcBorders>
          </w:tcPr>
          <w:p>
            <w:pPr>
              <w:jc w:val="center"/>
            </w:pPr>
            <w:r>
              <w:rPr>
                <w:sz w:val="20"/>
                <w:szCs w:val="20"/>
              </w:rPr>
              <w:t xml:space="preserve">0</w:t>
            </w:r>
          </w:p>
        </w:tc>
        <w:tc>
          <w:tcPr>
            <w:tcW w:type="dxa" w:w="2260"/>
            <w:tcBorders>
              <w:top w:val="single" w:color="CCCCCC" w:sz="1"/>
              <w:left w:val="single" w:color="CCCCCC" w:sz="1"/>
              <w:bottom w:val="single" w:color="CCCCCC" w:sz="1"/>
              <w:right w:val="single" w:color="CCCCCC" w:sz="1"/>
            </w:tcBorders>
          </w:tcPr>
          <w:p>
            <w:r>
              <w:rPr>
                <w:sz w:val="20"/>
                <w:szCs w:val="20"/>
              </w:rPr>
              <w:t xml:space="preserve">Articulatory/motor effects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Psychoticism</w:t>
            </w:r>
          </w:p>
        </w:tc>
        <w:tc>
          <w:tcPr>
            <w:tcW w:type="dxa" w:w="1800"/>
            <w:tcBorders>
              <w:top w:val="single" w:color="CCCCCC" w:sz="1"/>
              <w:left w:val="single" w:color="CCCCCC" w:sz="1"/>
              <w:bottom w:val="single" w:color="CCCCCC" w:sz="1"/>
              <w:right w:val="single" w:color="CCCCCC" w:sz="1"/>
            </w:tcBorders>
          </w:tcPr>
          <w:p>
            <w:pPr>
              <w:jc w:val="center"/>
            </w:pPr>
            <w:r>
              <w:rPr>
                <w:sz w:val="20"/>
                <w:szCs w:val="20"/>
              </w:rPr>
              <w:t xml:space="preserve">0</w:t>
            </w:r>
          </w:p>
        </w:tc>
        <w:tc>
          <w:tcPr>
            <w:tcW w:type="dxa" w:w="2000"/>
            <w:tcBorders>
              <w:top w:val="single" w:color="CCCCCC" w:sz="1"/>
              <w:left w:val="single" w:color="CCCCCC" w:sz="1"/>
              <w:bottom w:val="single" w:color="CCCCCC" w:sz="1"/>
              <w:right w:val="single" w:color="CCCCCC" w:sz="1"/>
            </w:tcBorders>
          </w:tcPr>
          <w:p>
            <w:pPr>
              <w:jc w:val="center"/>
            </w:pPr>
            <w:r>
              <w:rPr>
                <w:b/>
                <w:bCs/>
                <w:color w:val="e53e3e"/>
                <w:sz w:val="20"/>
                <w:szCs w:val="20"/>
              </w:rPr>
              <w:t xml:space="preserve">−</w:t>
            </w:r>
          </w:p>
        </w:tc>
        <w:tc>
          <w:tcPr>
            <w:tcW w:type="dxa" w:w="1300"/>
            <w:tcBorders>
              <w:top w:val="single" w:color="CCCCCC" w:sz="1"/>
              <w:left w:val="single" w:color="CCCCCC" w:sz="1"/>
              <w:bottom w:val="single" w:color="CCCCCC" w:sz="1"/>
              <w:right w:val="single" w:color="CCCCCC" w:sz="1"/>
            </w:tcBorders>
          </w:tcPr>
          <w:p>
            <w:pPr>
              <w:jc w:val="center"/>
            </w:pPr>
            <w:r>
              <w:rPr>
                <w:b/>
                <w:bCs/>
                <w:color w:val="38a169"/>
                <w:sz w:val="20"/>
                <w:szCs w:val="20"/>
              </w:rPr>
              <w:t xml:space="preserve">+ (elevated)</w:t>
            </w:r>
          </w:p>
        </w:tc>
        <w:tc>
          <w:tcPr>
            <w:tcW w:type="dxa" w:w="2260"/>
            <w:tcBorders>
              <w:top w:val="single" w:color="CCCCCC" w:sz="1"/>
              <w:left w:val="single" w:color="CCCCCC" w:sz="1"/>
              <w:bottom w:val="single" w:color="CCCCCC" w:sz="1"/>
              <w:right w:val="single" w:color="CCCCCC" w:sz="1"/>
            </w:tcBorders>
          </w:tcPr>
          <w:p>
            <w:r>
              <w:rPr>
                <w:sz w:val="20"/>
                <w:szCs w:val="20"/>
              </w:rPr>
              <w:t xml:space="preserve">Stable arousal/disorganization</w:t>
            </w:r>
          </w:p>
        </w:tc>
      </w:tr>
    </w:tbl>
    <w:p>
      <w:pPr>
        <w:spacing w:before="200" w:after="200"/>
      </w:pPr>
      <w:r>
        <w:rPr>
          <w:i/>
          <w:iCs/>
        </w:rPr>
        <w:t xml:space="preserve">Note: </w:t>
      </w:r>
      <w:r>
        <w:rPr>
          <w:i/>
          <w:iCs/>
        </w:rPr>
        <w:t xml:space="preserve">Predictions coded 0 are excluded from the conformity analysis. You test fewer, more targeted predictions rather than all possible combinations.</w:t>
      </w:r>
    </w:p>
    <w:p>
      <w:pPr>
        <w:pStyle w:val="Heading1"/>
      </w:pPr>
      <w:r>
        <w:t xml:space="preserve">Suggested Manuscript Language</w:t>
      </w:r>
    </w:p>
    <w:p>
      <w:pPr>
        <w:pStyle w:val="Heading2"/>
      </w:pPr>
      <w:r>
        <w:t xml:space="preserve">For the Analysis Plan</w:t>
      </w:r>
    </w:p>
    <w:p>
      <w:pPr>
        <w:shd w:fill="f7fafc" w:val="clear"/>
        <w:spacing w:after="200"/>
      </w:pPr>
      <w:r>
        <w:rPr>
          <w:i/>
          <w:iCs/>
        </w:rPr>
        <w:t xml:space="preserve">"Rather than treating each of the [N] personality × stress interactions as independent hypothesis tests—which would require stringent multiplicity corrections and fundamentally mischaracterize our research question—we adopted a theory-driven pattern conformity approach. We specified a priori directional predictions for each interaction based on our theoretical model (Table X), then computed the posterior probability that the overall pattern of results conformed to these predictions. This approach directly tests our theoretical model as a unified whole, asking: what is the probability that personality pathology dimensions moderate stress reactivity in the directions predicted by theory?"</w:t>
      </w:r>
    </w:p>
    <w:p>
      <w:pPr>
        <w:pStyle w:val="Heading2"/>
      </w:pPr>
      <w:r>
        <w:t xml:space="preserve">For the Results</w:t>
      </w:r>
    </w:p>
    <w:p>
      <w:pPr>
        <w:shd w:fill="f7fafc" w:val="clear"/>
        <w:spacing w:after="200"/>
      </w:pPr>
      <w:r>
        <w:rPr>
          <w:i/>
          <w:iCs/>
        </w:rPr>
        <w:t xml:space="preserve">"We specified [N] directional predictions based on our theoretical framework. The mean proportion of predictions in the expected direction was X% (95% CI [X%, X%]), substantially exceeding the 50% expected by chance. The posterior probability that our theoretical pattern performed better than chance was X%, providing [strong/moderate/weak] evidence for the overall model. The combined probability of direction across all predictions was X%, indicating [strong/moderate] directional consistency."</w:t>
      </w:r>
    </w:p>
    <w:p>
      <w:pPr>
        <w:pStyle w:val="Heading1"/>
      </w:pPr>
      <w:r>
        <w:t xml:space="preserve">Advantages for Your Paper</w:t>
      </w:r>
    </w:p>
    <w:p>
      <w:pPr>
        <w:pStyle w:val="ListParagraph"/>
        <w:numPr>
          <w:ilvl w:val="0"/>
          <w:numId w:val="2"/>
        </w:numPr>
      </w:pPr>
      <w:r>
        <w:rPr>
          <w:b/>
          <w:bCs/>
        </w:rPr>
        <w:t xml:space="preserve">Aligns with special issue emphasis on theory-driven methods: </w:t>
      </w:r>
      <w:r>
        <w:t xml:space="preserve">You're not data-dredging; you're testing a coherent theoretical model</w:t>
      </w:r>
    </w:p>
    <w:p>
      <w:pPr>
        <w:pStyle w:val="ListParagraph"/>
        <w:numPr>
          <w:ilvl w:val="0"/>
          <w:numId w:val="2"/>
        </w:numPr>
      </w:pPr>
      <w:r>
        <w:rPr>
          <w:b/>
          <w:bCs/>
        </w:rPr>
        <w:t xml:space="preserve">Sidesteps multiple comparison debates: </w:t>
      </w:r>
      <w:r>
        <w:t xml:space="preserve">The question isn't "how many effects are significant" but "does the pattern hold"</w:t>
      </w:r>
    </w:p>
    <w:p>
      <w:pPr>
        <w:pStyle w:val="ListParagraph"/>
        <w:numPr>
          <w:ilvl w:val="0"/>
          <w:numId w:val="2"/>
        </w:numPr>
      </w:pPr>
      <w:r>
        <w:rPr>
          <w:b/>
          <w:bCs/>
        </w:rPr>
        <w:t xml:space="preserve">More powerful: </w:t>
      </w:r>
      <w:r>
        <w:t xml:space="preserve">Testing a directional pattern pools information across predictions rather than penalizing for each test</w:t>
      </w:r>
    </w:p>
    <w:p>
      <w:pPr>
        <w:pStyle w:val="ListParagraph"/>
        <w:numPr>
          <w:ilvl w:val="0"/>
          <w:numId w:val="2"/>
        </w:numPr>
      </w:pPr>
      <w:r>
        <w:rPr>
          <w:b/>
          <w:bCs/>
        </w:rPr>
        <w:t xml:space="preserve">Honest about exploratory elements: </w:t>
      </w:r>
      <w:r>
        <w:t xml:space="preserve">Effects with no clear prediction (coded 0) are acknowledged rather than hidden</w:t>
      </w:r>
    </w:p>
    <w:p>
      <w:pPr>
        <w:pStyle w:val="ListParagraph"/>
        <w:numPr>
          <w:ilvl w:val="0"/>
          <w:numId w:val="2"/>
        </w:numPr>
      </w:pPr>
      <w:r>
        <w:rPr>
          <w:b/>
          <w:bCs/>
        </w:rPr>
        <w:t xml:space="preserve">Provides interpretable effect size: </w:t>
      </w:r>
      <w:r>
        <w:t xml:space="preserve">"70% of predictions were confirmed" is intuitive for readers</w:t>
      </w:r>
    </w:p>
    <w:p>
      <w:pPr>
        <w:pStyle w:val="ListParagraph"/>
        <w:numPr>
          <w:ilvl w:val="0"/>
          <w:numId w:val="2"/>
        </w:numPr>
        <w:spacing w:after="200"/>
      </w:pPr>
      <w:r>
        <w:rPr>
          <w:b/>
          <w:bCs/>
        </w:rPr>
        <w:t xml:space="preserve">Still allows individual effect reporting: </w:t>
      </w:r>
      <w:r>
        <w:t xml:space="preserve">You can discuss specific findings while situating them within the overall pattern</w:t>
      </w:r>
    </w:p>
    <w:p>
      <w:pPr>
        <w:pStyle w:val="Heading1"/>
      </w:pPr>
      <w:r>
        <w:t xml:space="preserve">Limitations to Acknowledge</w:t>
      </w:r>
    </w:p>
    <w:p>
      <w:pPr>
        <w:pStyle w:val="ListParagraph"/>
        <w:numPr>
          <w:ilvl w:val="0"/>
          <w:numId w:val="3"/>
        </w:numPr>
      </w:pPr>
      <w:r>
        <w:t xml:space="preserve">Predictions must be specified a priori (or acknowledged as post-hoc)</w:t>
      </w:r>
    </w:p>
    <w:p>
      <w:pPr>
        <w:pStyle w:val="ListParagraph"/>
        <w:numPr>
          <w:ilvl w:val="0"/>
          <w:numId w:val="3"/>
        </w:numPr>
      </w:pPr>
      <w:r>
        <w:t xml:space="preserve">Effects across different models are treated as independent (correlations not modeled)</w:t>
      </w:r>
    </w:p>
    <w:p>
      <w:pPr>
        <w:pStyle w:val="ListParagraph"/>
        <w:numPr>
          <w:ilvl w:val="0"/>
          <w:numId w:val="3"/>
        </w:numPr>
      </w:pPr>
      <w:r>
        <w:t xml:space="preserve">Equal weighting of predictions (could extend to weighted conformity)</w:t>
      </w:r>
    </w:p>
    <w:p>
      <w:pPr>
        <w:pStyle w:val="ListParagraph"/>
        <w:numPr>
          <w:ilvl w:val="0"/>
          <w:numId w:val="3"/>
        </w:numPr>
        <w:spacing w:after="200"/>
      </w:pPr>
      <w:r>
        <w:t xml:space="preserve">Tests direction only, not magnitude (but magnitude is captured in individual CIs)</w:t>
      </w:r>
    </w:p>
    <w:p>
      <w:pPr>
        <w:pStyle w:val="Heading1"/>
      </w:pPr>
      <w:r>
        <w:t xml:space="preserve">Next Steps</w:t>
      </w:r>
    </w:p>
    <w:p>
      <w:pPr>
        <w:pStyle w:val="ListParagraph"/>
        <w:numPr>
          <w:ilvl w:val="0"/>
          <w:numId w:val="2"/>
        </w:numPr>
      </w:pPr>
      <w:r>
        <w:rPr>
          <w:b/>
          <w:bCs/>
        </w:rPr>
        <w:t xml:space="preserve">Review the prediction matrix: </w:t>
      </w:r>
      <w:r>
        <w:t xml:space="preserve">Adjust directions based on your specific theoretical rationale</w:t>
      </w:r>
    </w:p>
    <w:p>
      <w:pPr>
        <w:pStyle w:val="ListParagraph"/>
        <w:numPr>
          <w:ilvl w:val="0"/>
          <w:numId w:val="2"/>
        </w:numPr>
      </w:pPr>
      <w:r>
        <w:rPr>
          <w:b/>
          <w:bCs/>
        </w:rPr>
        <w:t xml:space="preserve">Decide on scope: </w:t>
      </w:r>
      <w:r>
        <w:t xml:space="preserve">Include all vowels, or focus on /a/ with /i,u/ as replication?</w:t>
      </w:r>
    </w:p>
    <w:p>
      <w:pPr>
        <w:pStyle w:val="ListParagraph"/>
        <w:numPr>
          <w:ilvl w:val="0"/>
          <w:numId w:val="2"/>
        </w:numPr>
      </w:pPr>
      <w:r>
        <w:rPr>
          <w:b/>
          <w:bCs/>
        </w:rPr>
        <w:t xml:space="preserve">Run the analysis: </w:t>
      </w:r>
      <w:r>
        <w:t xml:space="preserve">Use the provided R functions on your fitted models</w:t>
      </w:r>
    </w:p>
    <w:p>
      <w:pPr>
        <w:pStyle w:val="ListParagraph"/>
        <w:numPr>
          <w:ilvl w:val="0"/>
          <w:numId w:val="2"/>
        </w:numPr>
      </w:pPr>
      <w:r>
        <w:rPr>
          <w:b/>
          <w:bCs/>
        </w:rPr>
        <w:t xml:space="preserve">Create visualization: </w:t>
      </w:r>
      <w:r>
        <w:t xml:space="preserve">The posterior distribution of conformity is your main result</w:t>
      </w:r>
    </w:p>
    <w:p>
      <w:pPr>
        <w:pStyle w:val="ListParagraph"/>
        <w:numPr>
          <w:ilvl w:val="0"/>
          <w:numId w:val="2"/>
        </w:numPr>
      </w:pPr>
      <w:r>
        <w:rPr>
          <w:b/>
          <w:bCs/>
        </w:rPr>
        <w:t xml:space="preserve">Draft the text: </w:t>
      </w:r>
      <w:r>
        <w:t xml:space="preserve">Use the templates above, inserting your specific numbers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Bayesian Pattern Conformity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360"/>
      <w:jc w:val="center"/>
    </w:pPr>
    <w:rPr>
      <w:rFonts w:ascii="Arial" w:cs="Arial" w:eastAsia="Arial" w:hAnsi="Arial"/>
      <w:b/>
      <w:bCs/>
      <w:color w:val="000000"/>
      <w:sz w:val="48"/>
      <w:szCs w:val="48"/>
    </w:rPr>
  </w:style>
  <w:style w:type="paragraph" w:styleId="Heading1">
    <w:name w:val="Heading 1"/>
    <w:basedOn w:val="Normal"/>
    <w:next w:val="Normal"/>
    <w:qFormat/>
    <w:pPr>
      <w:spacing w:before="360" w:after="180"/>
      <w:outlineLvl w:val="0"/>
    </w:pPr>
    <w:rPr>
      <w:rFonts w:ascii="Arial" w:cs="Arial" w:eastAsia="Arial" w:hAnsi="Arial"/>
      <w:b/>
      <w:bCs/>
      <w:color w:val="1a365d"/>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c5282"/>
      <w:sz w:val="26"/>
      <w:szCs w:val="26"/>
    </w:rPr>
  </w:style>
  <w:style w:type="paragraph" w:styleId="Heading3">
    <w:name w:val="Heading 3"/>
    <w:basedOn w:val="Normal"/>
    <w:next w:val="Normal"/>
    <w:qFormat/>
    <w:pPr>
      <w:spacing w:before="200" w:after="100"/>
      <w:outlineLvl w:val="2"/>
    </w:pPr>
    <w:rPr>
      <w:rFonts w:ascii="Arial" w:cs="Arial" w:eastAsia="Arial" w:hAnsi="Arial"/>
      <w:b/>
      <w:bCs/>
      <w:i/>
      <w:iCs/>
      <w:color w:val="3182c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2025-12-17T11:31:45.048Z</dcterms:created>
  <dcterms:modified xsi:type="dcterms:W3CDTF">2025-12-17T11:31:45.049Z</dcterms:modified>
</cp:coreProperties>
</file>

<file path=docProps/custom.xml><?xml version="1.0" encoding="utf-8"?>
<Properties xmlns="http://schemas.openxmlformats.org/officeDocument/2006/custom-properties" xmlns:vt="http://schemas.openxmlformats.org/officeDocument/2006/docPropsVTypes"/>
</file>