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Sample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40"/>
        <w:gridCol w:w="216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participants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observations (voice recordings)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Sex, N (%)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(100.0%)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**PID-5 Dimensions (EMA), M (SD)**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Negative Affectivity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 (1.55)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Detachment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 (1.58)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Antagonism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(1.13)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Disinhibition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 (1.26)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Psychoticism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(1.40)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**PID-5 Dimensions (Baseline), M (SD)**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Negative Affectivity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 (8.7)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Detachment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 (6.6)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Antagonism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(6.3)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Disinhibition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 (5.7)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Psychoticism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 (12.3)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**EMA Compliance**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Total EMA assessments, 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 (4.1)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Completion rate, M (SD)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 (13.4)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2025-12-23T09:03:38Z</dcterms:modified>
  <cp:category/>
</cp:coreProperties>
</file>