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A38C" w14:textId="77777777" w:rsidR="002B6180" w:rsidRPr="004D292B" w:rsidRDefault="00000000">
      <w:pPr>
        <w:pStyle w:val="h1-pagebreak"/>
        <w:rPr>
          <w:b/>
          <w:bCs w:val="0"/>
        </w:rPr>
      </w:pPr>
      <w:r w:rsidRPr="004D292B">
        <w:rPr>
          <w:b/>
          <w:bCs w:val="0"/>
        </w:rPr>
        <w:t>Abstract</w:t>
      </w:r>
    </w:p>
    <w:p w14:paraId="73871510" w14:textId="4A0D9DBB" w:rsidR="002B6180" w:rsidRPr="004D292B" w:rsidRDefault="00000000">
      <w:pPr>
        <w:pStyle w:val="BodyText"/>
      </w:pPr>
      <w:r w:rsidRPr="004D292B">
        <w:t>This study examined whether vocal acoustics index context-dependent stress responses associated with personality pathology during naturalistic stress. Female university students (</w:t>
      </w:r>
      <m:oMath>
        <m:r>
          <w:rPr>
            <w:rFonts w:ascii="Cambria Math" w:hAnsi="Cambria Math"/>
          </w:rPr>
          <m:t>n</m:t>
        </m:r>
      </m:oMath>
      <w:r w:rsidRPr="004D292B">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0.65 dB, suggesting compensatory phonatory control. In tentative, theory-guided analyses, personality traits showed domain- and parameter-specific moderation: Negative Affectivity amplified stress-induced F0 increases during anticipatory stress, Antagonism was associated with continued F0 elevation during recovery, suggesting heterogeneity in post-stressor arousal trajectories, and Psychoticism was associated with voice-quality (NNE) changes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directionally convergent moderation estimates for the focal effect. These findings support transactional models of personality pathology and suggest that multimodal ambulatory assessment, combining acoustic measures with intensive self-report, can index context-dependent stress responses associated with maladaptive traits.</w:t>
      </w:r>
    </w:p>
    <w:p w14:paraId="203FF389" w14:textId="77777777" w:rsidR="002B6180" w:rsidRPr="004D292B" w:rsidRDefault="00000000" w:rsidP="008A0051">
      <w:pPr>
        <w:pStyle w:val="BodyText"/>
        <w:ind w:firstLine="0"/>
      </w:pPr>
      <w:r w:rsidRPr="004D292B">
        <w:rPr>
          <w:i/>
          <w:iCs/>
        </w:rPr>
        <w:lastRenderedPageBreak/>
        <w:t>Keywords:</w:t>
      </w:r>
      <w:r w:rsidRPr="004D292B">
        <w:t xml:space="preserve"> ecological momentary assessment; personality pathology; PID-5; voice analysis; stress reactivity. </w:t>
      </w:r>
    </w:p>
    <w:p w14:paraId="506E97D3" w14:textId="77777777" w:rsidR="002B6180" w:rsidRPr="004D292B" w:rsidRDefault="00000000">
      <w:pPr>
        <w:pStyle w:val="h1-pagebreak"/>
        <w:rPr>
          <w:b/>
          <w:bCs w:val="0"/>
        </w:rPr>
      </w:pPr>
      <w:r w:rsidRPr="004D292B">
        <w:rPr>
          <w:b/>
          <w:bCs w:val="0"/>
        </w:rPr>
        <w:lastRenderedPageBreak/>
        <w:t>Quantitative Voice Analysis of Context-Dependent Stress Responses Associated with Personality Pathology Traits: A Bayesian Multilevel Ambulatory Assessment Study</w:t>
      </w:r>
    </w:p>
    <w:p w14:paraId="3DC35750" w14:textId="77777777" w:rsidR="002B6180" w:rsidRPr="004D292B" w:rsidRDefault="00000000">
      <w:pPr>
        <w:pStyle w:val="Heading1"/>
      </w:pPr>
      <w:bookmarkStart w:id="0" w:name="introduction"/>
      <w:r w:rsidRPr="004D292B">
        <w:t>Introduction</w:t>
      </w:r>
    </w:p>
    <w:p w14:paraId="09F973DA" w14:textId="77777777" w:rsidR="002B6180" w:rsidRPr="004D292B" w:rsidRDefault="00000000">
      <w:pPr>
        <w:pStyle w:val="FirstParagraph"/>
      </w:pPr>
      <w:r w:rsidRPr="004D292B">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sidRPr="004D292B">
        <w:rPr>
          <w:i/>
          <w:iCs/>
        </w:rPr>
        <w:t>Cognitive-Affective Personality System</w:t>
      </w:r>
      <w:r w:rsidRPr="004D292B">
        <w:t xml:space="preserve"> frames personality as a stable set of situation-contingent “if–then” behavioral signatures, reflecting consistent individual differences in reactions to specific psychological features of situations. Similarly, Fleeson’s (2001) </w:t>
      </w:r>
      <w:r w:rsidRPr="004D292B">
        <w:rPr>
          <w:i/>
          <w:iCs/>
        </w:rPr>
        <w:t>Whole Trait Theory</w:t>
      </w:r>
      <w:r w:rsidRPr="004D292B">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41DE393A" w14:textId="77777777" w:rsidR="002B6180" w:rsidRPr="004D292B" w:rsidRDefault="00000000">
      <w:pPr>
        <w:pStyle w:val="BodyText"/>
      </w:pPr>
      <w:r w:rsidRPr="004D292B">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rsidRPr="004D292B">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05464768" w14:textId="77777777" w:rsidR="002B6180" w:rsidRPr="004D292B" w:rsidRDefault="00000000">
      <w:pPr>
        <w:pStyle w:val="BodyText"/>
      </w:pPr>
      <w:r w:rsidRPr="004D292B">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 non-self-report, unobtrusive, and continuous indicators of stress reactivity that do not depend on introspection.</w:t>
      </w:r>
    </w:p>
    <w:p w14:paraId="742E1262" w14:textId="0768DDB0" w:rsidR="002B6180" w:rsidRPr="004D292B" w:rsidRDefault="00000000">
      <w:pPr>
        <w:pStyle w:val="BodyText"/>
      </w:pPr>
      <w:r w:rsidRPr="004D292B">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rsidRPr="004D292B">
        <w:lastRenderedPageBreak/>
        <w:t xml:space="preserve">that tightens the vocal folds via increased laryngeal muscle tension (Giddens et al., 2013). Voice quality parameters such as normalized noise energy (NNE; indexing glottal noise) capture aspects of phonatory stability and vocal </w:t>
      </w:r>
      <w:proofErr w:type="gramStart"/>
      <w:r w:rsidRPr="004D292B">
        <w:t>control, and</w:t>
      </w:r>
      <w:proofErr w:type="gramEnd"/>
      <w:r w:rsidRPr="004D292B">
        <w:t xml:space="preserve"> are sensitive to both acute emotional arousal and chronic psychological states (Scherer et al., 2013). Crucially, these features can be extracted from brief, speech samples, making voice acoustics a scalable, low-burden tool for ambulatory psychophysiological assessment</w:t>
      </w:r>
      <w:r w:rsidRPr="004D292B">
        <w:rPr>
          <w:rStyle w:val="FootnoteReference"/>
        </w:rPr>
        <w:footnoteReference w:id="1"/>
      </w:r>
      <w:r w:rsidRPr="004D292B">
        <w:t>.</w:t>
      </w:r>
    </w:p>
    <w:p w14:paraId="26841CE2" w14:textId="77777777" w:rsidR="002B6180" w:rsidRPr="004D292B" w:rsidRDefault="00000000">
      <w:pPr>
        <w:pStyle w:val="BodyText"/>
      </w:pPr>
      <w:r w:rsidRPr="004D292B">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3554D781" w14:textId="77777777" w:rsidR="002B6180" w:rsidRPr="004D292B" w:rsidRDefault="00000000">
      <w:pPr>
        <w:pStyle w:val="BodyText"/>
      </w:pPr>
      <w:r w:rsidRPr="004D292B">
        <w:t xml:space="preserve">The </w:t>
      </w:r>
      <w:r w:rsidRPr="004D292B">
        <w:rPr>
          <w:i/>
          <w:iCs/>
        </w:rPr>
        <w:t>Personality Inventory for DSM-5</w:t>
      </w:r>
      <w:r w:rsidRPr="004D292B">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rsidRPr="004D292B">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12DC3BB2" w14:textId="758DCBFE" w:rsidR="002B6180" w:rsidRPr="004D292B" w:rsidRDefault="00000000">
      <w:pPr>
        <w:pStyle w:val="BodyText"/>
      </w:pPr>
      <w:r w:rsidRPr="004D292B">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rsidRPr="004D292B">
        <w:lastRenderedPageBreak/>
        <w:t>ecologically valid stressors with real consequences, (b) physiological, or physiology-linked, indicators independent of self-report, and (c) longitudinal designs capable of modeling both within-person dynamics and between-person moderation.</w:t>
      </w:r>
    </w:p>
    <w:p w14:paraId="25EAC840" w14:textId="60D1CA47" w:rsidR="002B6180" w:rsidRPr="004D292B" w:rsidRDefault="00000000">
      <w:pPr>
        <w:pStyle w:val="BodyText"/>
      </w:pPr>
      <w:r w:rsidRPr="004D292B">
        <w:t xml:space="preserve">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w:t>
      </w:r>
      <w:proofErr w:type="gramStart"/>
      <w:r w:rsidRPr="004D292B">
        <w:t>key ways</w:t>
      </w:r>
      <w:proofErr w:type="gramEnd"/>
      <w:r w:rsidRPr="004D292B">
        <w:t xml:space="preserve">, namely (a) it operationalizes stress using a proximal real-world stressor rather than retrospective reports (b) it employs voice-based acoustic </w:t>
      </w:r>
      <w:r w:rsidR="002D673D" w:rsidRPr="004D292B">
        <w:t>measures</w:t>
      </w:r>
      <w:r w:rsidRPr="004D292B">
        <w:t xml:space="preserve"> to capture physiology-linked vocal indicators, (c) and it enables domain-specific tests of how personality pathology moderates both acute stress reactivity and post-stressor recovery.</w:t>
      </w:r>
    </w:p>
    <w:p w14:paraId="3B10F5A6" w14:textId="5D0D58BE" w:rsidR="002B6180" w:rsidRPr="004D292B" w:rsidRDefault="00000000">
      <w:pPr>
        <w:pStyle w:val="BodyText"/>
      </w:pPr>
      <w:r w:rsidRPr="004D292B">
        <w:t>Our analyses were guided by two primary questions: (1) whether vocal parameters exhibit systematic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60AB64A2" w14:textId="77777777" w:rsidR="002A12F6" w:rsidRPr="004D292B" w:rsidRDefault="002A12F6">
      <w:pPr>
        <w:pStyle w:val="BodyText"/>
      </w:pPr>
      <w:r w:rsidRPr="004D292B">
        <w:t xml:space="preserve">Regarding moderation by personality pathology traits, we derived domain-specific, theory-based expectations for each PID-5 domain rather than treating moderation as purely </w:t>
      </w:r>
      <w:r w:rsidRPr="004D292B">
        <w:lastRenderedPageBreak/>
        <w:t xml:space="preserve">exploratory. Personality traits shape physiological stress responses such as cortisol reactivity and heart-rate variability (Luo et al., 2023), with emerging evidence that these differences extend to vocal production under stress (Dietrich &amp; Abbott, 2012). We applied this reasoning to each domain’s defining features and to the vocal mechanisms summarized above, holding the resulting expectations with low prior confidence because no prior work has examined PID-5 moderation of vocal stress markers and the study was not preregistered. For Negative Affectivity, we expected amplified stress-induced F0 increases, following from its emphasis on threat sensitivity and emotional reactivity, features tied to sympathetic overactivation (Lahey, 2009; </w:t>
      </w:r>
      <w:proofErr w:type="spellStart"/>
      <w:r w:rsidRPr="004D292B">
        <w:t>Ormel</w:t>
      </w:r>
      <w:proofErr w:type="spellEnd"/>
      <w:r w:rsidRPr="004D292B">
        <w:t xml:space="preserve"> et al., 2013), and from F0’s sensitivity to autonomic arousal. For the other domains, the constructs supported weaker or genuinely two-sided expectations. Detachment has been linked to affective inertia and impaired affect repair, which could predict slower recovery (</w:t>
      </w:r>
      <w:proofErr w:type="spellStart"/>
      <w:r w:rsidRPr="004D292B">
        <w:t>Kuppens</w:t>
      </w:r>
      <w:proofErr w:type="spellEnd"/>
      <w:r w:rsidRPr="004D292B">
        <w:t xml:space="preserve"> et al., 2010), but its restricted emotional expression could instead blunt vocal stress reactivity. Antagonism, through its hostility and interpersonal-dominance features, could plausibly relate to sustained activation or slower post-stress recovery, whereas its grandiosity component could attenuate threat appraisal; we therefore did not commit to a single direction. Disinhibition—defined by impulsivity and poor behavioral control rather than emotional reactivity—shows weak associations with physiological stress markers despite moderating subjective stress (Luo et al., 2023), so we expected little moderation of the arousal-driven F0 response, although disruption of control-related voice quality indexed by NNE remained possible. Psychoticism, defined by perceptual and cognitive dysregulation rather than autonomic arousal, was expected, if it moderated vocal stress responses at all, to affect phonatory-control indices such as NNE more plausibly than pitch, particularly during post-stressor recovery. Because these expectations were not preregistered and were evaluated in the same dataset, we treat the resulting estimates as </w:t>
      </w:r>
      <w:r w:rsidRPr="004D292B">
        <w:lastRenderedPageBreak/>
        <w:t>tentative, report them with 89% credible intervals and the probability of direction rather than as accept/reject decisions, and emphasize the need for independent replication.</w:t>
      </w:r>
    </w:p>
    <w:p w14:paraId="40D694A6" w14:textId="3B7FFC92" w:rsidR="002B6180" w:rsidRPr="004D292B" w:rsidRDefault="00000000">
      <w:pPr>
        <w:pStyle w:val="BodyText"/>
      </w:pPr>
      <w:r w:rsidRPr="004D292B">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w:t>
      </w:r>
      <w:r w:rsidR="000D553E" w:rsidRPr="004D292B">
        <w:t xml:space="preserve">If intensive longitudinal measurement can recover stable trait variance while explicitly modeling measurement error and occasion-specific fluctuations, EMA-based approaches may offer a more efficient and scalable alternative to traditional questionnaire administration, an issue central to the state–trait distinction in intensive assessment (Molenaar, 2004; </w:t>
      </w:r>
      <w:proofErr w:type="spellStart"/>
      <w:r w:rsidR="000D553E" w:rsidRPr="004D292B">
        <w:t>Schimmack</w:t>
      </w:r>
      <w:proofErr w:type="spellEnd"/>
      <w:r w:rsidR="000D553E" w:rsidRPr="004D292B">
        <w:t>, 2003; Wright et al., 2025).</w:t>
      </w:r>
    </w:p>
    <w:p w14:paraId="03118125" w14:textId="77777777" w:rsidR="002B6180" w:rsidRPr="004D292B" w:rsidRDefault="00000000">
      <w:pPr>
        <w:pStyle w:val="BodyText"/>
      </w:pPr>
      <w:r w:rsidRPr="004D292B">
        <w:t>By integrating voice-based acoustic sensing with intensive longitudinal assessment in a real-world stress context, this study advances both theory and methodology in personality pathology research. It provides an physiology-linked, low-burden index of stress reactivity, tests core predictions of transactional models in daily life, and moves the field beyond static, decontextualized trait assessment toward a dynamic, situated understanding of maladaptive personality processes.</w:t>
      </w:r>
    </w:p>
    <w:p w14:paraId="51941DF1" w14:textId="77777777" w:rsidR="002B6180" w:rsidRPr="004D292B" w:rsidRDefault="00000000">
      <w:pPr>
        <w:pStyle w:val="Heading1"/>
      </w:pPr>
      <w:bookmarkStart w:id="1" w:name="methods"/>
      <w:bookmarkEnd w:id="0"/>
      <w:r w:rsidRPr="004D292B">
        <w:t>Methods</w:t>
      </w:r>
    </w:p>
    <w:p w14:paraId="3A4D748E" w14:textId="77777777" w:rsidR="002B6180" w:rsidRPr="004D292B" w:rsidRDefault="00000000">
      <w:pPr>
        <w:pStyle w:val="Heading2"/>
      </w:pPr>
      <w:bookmarkStart w:id="2" w:name="participants"/>
      <w:r w:rsidRPr="004D292B">
        <w:t>Participants</w:t>
      </w:r>
    </w:p>
    <w:p w14:paraId="487D3970" w14:textId="77777777" w:rsidR="002B6180" w:rsidRPr="004D292B" w:rsidRDefault="00000000">
      <w:pPr>
        <w:pStyle w:val="FirstParagraph"/>
      </w:pPr>
      <w:r w:rsidRPr="004D292B">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rsidRPr="004D292B">
        <w:t xml:space="preserve"> = 22.06, </w:t>
      </w:r>
      <m:oMath>
        <m:r>
          <w:rPr>
            <w:rFonts w:ascii="Cambria Math" w:hAnsi="Cambria Math"/>
          </w:rPr>
          <m:t>SD</m:t>
        </m:r>
      </m:oMath>
      <w:r w:rsidRPr="004D292B">
        <w:t xml:space="preserve"> = 3.74) from the University of [BLINDED] through course announcements and online postings. The sample was restricted to female participants to control for sex-related variation in vocal pitch characteristics </w:t>
      </w:r>
      <w:r w:rsidRPr="004D292B">
        <w:lastRenderedPageBreak/>
        <w:t>(Gelfer &amp; Mikos, 2005), which could obscure personality-related effects and reduce statistical power. Fundamental frequency (F0) differs substantially between male and female speakers (approximately 100 Hz lower in men) due to anatomical differences in vocal fold length and mass, making direct comparison problematic without large samples or complex statistical controls.</w:t>
      </w:r>
    </w:p>
    <w:p w14:paraId="07114CF7" w14:textId="77777777" w:rsidR="008062ED" w:rsidRPr="004D292B" w:rsidRDefault="00000000" w:rsidP="008062ED">
      <w:pPr>
        <w:pStyle w:val="BodyText"/>
      </w:pPr>
      <w:r w:rsidRPr="004D292B">
        <w:t>All participants were native Italian speakers with no reported history of voice disorders or current respiratory illness. Exclusion criteria included: (a) current or past psychiatric disorders 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3" w:name="design-and-procedure"/>
      <w:bookmarkEnd w:id="2"/>
    </w:p>
    <w:p w14:paraId="3DC259F3" w14:textId="77777777" w:rsidR="008062ED" w:rsidRPr="004D292B" w:rsidRDefault="008062ED" w:rsidP="008062ED">
      <w:pPr>
        <w:pStyle w:val="BodyText"/>
        <w:ind w:firstLine="0"/>
        <w:rPr>
          <w:lang w:val="en-GB"/>
        </w:rPr>
      </w:pPr>
      <w:r w:rsidRPr="004D292B">
        <w:rPr>
          <w:b/>
          <w:bCs/>
          <w:lang w:val="en-GB"/>
        </w:rPr>
        <w:t>Design and Procedure</w:t>
      </w:r>
    </w:p>
    <w:p w14:paraId="64019E49" w14:textId="77777777" w:rsidR="008062ED" w:rsidRPr="004D292B" w:rsidRDefault="008062ED" w:rsidP="008062ED">
      <w:pPr>
        <w:pStyle w:val="BodyText"/>
      </w:pPr>
      <w:r w:rsidRPr="004D292B">
        <w:t>We employed a naturalistic stress manipulation design, capitalizing on the university examination period as an ecologically valid acute stressor. The study comprised three assessment waves across 2.5 months:</w:t>
      </w:r>
    </w:p>
    <w:p w14:paraId="2D223CA6" w14:textId="77777777" w:rsidR="008062ED" w:rsidRPr="004D292B" w:rsidRDefault="008062ED" w:rsidP="008062ED">
      <w:pPr>
        <w:pStyle w:val="BodyText"/>
        <w:numPr>
          <w:ilvl w:val="0"/>
          <w:numId w:val="26"/>
        </w:numPr>
      </w:pPr>
      <w:r w:rsidRPr="004D292B">
        <w:rPr>
          <w:b/>
          <w:bCs/>
        </w:rPr>
        <w:t>Baseline assessment (T1):</w:t>
      </w:r>
      <w:r w:rsidRPr="004D292B">
        <w:t xml:space="preserve"> Administered 3–4 weeks before scheduled exams, participants completed the full PID-5 questionnaire and provided vocal recordings using their personal smartphones.</w:t>
      </w:r>
    </w:p>
    <w:p w14:paraId="157D75E3" w14:textId="77777777" w:rsidR="008062ED" w:rsidRPr="004D292B" w:rsidRDefault="008062ED" w:rsidP="008062ED">
      <w:pPr>
        <w:pStyle w:val="BodyText"/>
        <w:numPr>
          <w:ilvl w:val="0"/>
          <w:numId w:val="26"/>
        </w:numPr>
      </w:pPr>
      <w:r w:rsidRPr="004D292B">
        <w:rPr>
          <w:b/>
          <w:bCs/>
        </w:rPr>
        <w:t>Pre-exam assessment (T2):</w:t>
      </w:r>
      <w:r w:rsidRPr="004D292B">
        <w:t xml:space="preserve"> The day before a major course examination, participants recorded vocal samples using the same device.</w:t>
      </w:r>
    </w:p>
    <w:p w14:paraId="0920472E" w14:textId="77777777" w:rsidR="008062ED" w:rsidRPr="004D292B" w:rsidRDefault="008062ED" w:rsidP="008062ED">
      <w:pPr>
        <w:pStyle w:val="BodyText"/>
        <w:numPr>
          <w:ilvl w:val="0"/>
          <w:numId w:val="26"/>
        </w:numPr>
      </w:pPr>
      <w:r w:rsidRPr="004D292B">
        <w:rPr>
          <w:b/>
          <w:bCs/>
        </w:rPr>
        <w:lastRenderedPageBreak/>
        <w:t>Post-exam assessment (T3):</w:t>
      </w:r>
      <w:r w:rsidRPr="004D292B">
        <w:t xml:space="preserve"> The day after the examination, participants provided final vocal recordings.</w:t>
      </w:r>
    </w:p>
    <w:p w14:paraId="36576EA7" w14:textId="77777777" w:rsidR="00CC18E9" w:rsidRPr="004D292B" w:rsidRDefault="00DA408E" w:rsidP="00CC18E9">
      <w:pPr>
        <w:pStyle w:val="BodyText"/>
      </w:pPr>
      <w:r w:rsidRPr="004D292B">
        <w:t>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momentary assessments (EMA) via smartphone application, yielding an average of 27.0 EMA observations per participant (range: 12–31). The study was not preregistered.</w:t>
      </w:r>
    </w:p>
    <w:p w14:paraId="533CC652" w14:textId="77777777" w:rsidR="002B6180" w:rsidRPr="004D292B" w:rsidRDefault="00000000" w:rsidP="00AC7DE7">
      <w:pPr>
        <w:pStyle w:val="Heading2"/>
      </w:pPr>
      <w:bookmarkStart w:id="4" w:name="measures"/>
      <w:bookmarkEnd w:id="3"/>
      <w:r w:rsidRPr="004D292B">
        <w:t>Measures</w:t>
      </w:r>
    </w:p>
    <w:p w14:paraId="5D9126D5" w14:textId="77777777" w:rsidR="00F40FFE" w:rsidRPr="004D292B" w:rsidRDefault="00F40FFE" w:rsidP="00AC7DE7">
      <w:pPr>
        <w:pStyle w:val="Heading3"/>
        <w:framePr w:wrap="auto" w:vAnchor="margin" w:yAlign="inline"/>
        <w:spacing w:line="480" w:lineRule="auto"/>
        <w:ind w:firstLine="0"/>
        <w:rPr>
          <w:i/>
          <w:iCs/>
        </w:rPr>
      </w:pPr>
      <w:r w:rsidRPr="004D292B">
        <w:rPr>
          <w:i/>
          <w:iCs/>
        </w:rPr>
        <w:t>Personality Pathology</w:t>
      </w:r>
    </w:p>
    <w:p w14:paraId="248B9A90" w14:textId="45DE40BA" w:rsidR="002B6180" w:rsidRPr="004D292B" w:rsidRDefault="00000000" w:rsidP="00AC7DE7">
      <w:pPr>
        <w:pStyle w:val="FirstParagraph"/>
      </w:pPr>
      <w:bookmarkStart w:id="5" w:name="personality-pathology"/>
      <w:r w:rsidRPr="004D292B">
        <w:rPr>
          <w:b/>
          <w:bCs/>
        </w:rPr>
        <w:t>Full PID-5 (Baseline).</w:t>
      </w:r>
      <w:r w:rsidRPr="004D292B">
        <w:t xml:space="preserve"> At T1, participants completed the 220-item Personality Inventory for DSM-5 (Krueger et al., 2012), which assesses five maladaptive trait domains: Negative Affectivity (</w:t>
      </w:r>
      <m:oMath>
        <m:r>
          <w:rPr>
            <w:rFonts w:ascii="Cambria Math" w:hAnsi="Cambria Math"/>
          </w:rPr>
          <m:t>ω</m:t>
        </m:r>
      </m:oMath>
      <w:r w:rsidRPr="004D292B">
        <w:t xml:space="preserve"> = 0.85), Detachment (</w:t>
      </w:r>
      <m:oMath>
        <m:r>
          <w:rPr>
            <w:rFonts w:ascii="Cambria Math" w:hAnsi="Cambria Math"/>
          </w:rPr>
          <m:t>ω</m:t>
        </m:r>
      </m:oMath>
      <w:r w:rsidRPr="004D292B">
        <w:t xml:space="preserve"> = 0.84), Antagonism (</w:t>
      </w:r>
      <m:oMath>
        <m:r>
          <w:rPr>
            <w:rFonts w:ascii="Cambria Math" w:hAnsi="Cambria Math"/>
          </w:rPr>
          <m:t>ω</m:t>
        </m:r>
      </m:oMath>
      <w:r w:rsidRPr="004D292B">
        <w:t xml:space="preserve"> = 0.82), Disinhibition (</w:t>
      </w:r>
      <m:oMath>
        <m:r>
          <w:rPr>
            <w:rFonts w:ascii="Cambria Math" w:hAnsi="Cambria Math"/>
          </w:rPr>
          <m:t>ω</m:t>
        </m:r>
      </m:oMath>
      <w:r w:rsidRPr="004D292B">
        <w:t xml:space="preserve"> = 0.84), and Psychoticism (</w:t>
      </w:r>
      <m:oMath>
        <m:r>
          <w:rPr>
            <w:rFonts w:ascii="Cambria Math" w:hAnsi="Cambria Math"/>
          </w:rPr>
          <m:t>ω</m:t>
        </m:r>
      </m:oMath>
      <w:r w:rsidRPr="004D292B">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w:t>
      </w:r>
      <w:r w:rsidR="00876910">
        <w:t>, Section 2.2</w:t>
      </w:r>
      <w:r w:rsidRPr="004D292B">
        <w:t>.</w:t>
      </w:r>
    </w:p>
    <w:p w14:paraId="1AB55058" w14:textId="2C281976" w:rsidR="002B6180" w:rsidRPr="004D292B" w:rsidRDefault="00000000" w:rsidP="007F3A21">
      <w:pPr>
        <w:pStyle w:val="BodyText"/>
        <w:rPr>
          <w:lang w:val="en-IT"/>
        </w:rPr>
      </w:pPr>
      <w:r w:rsidRPr="004D292B">
        <w:rPr>
          <w:b/>
          <w:bCs/>
        </w:rPr>
        <w:t>Brief PID-5 for EMA.</w:t>
      </w:r>
      <w:r w:rsidRPr="004D292B">
        <w:t xml:space="preserve"> To reduce participant burden while maintaining construct coverage, we administered a brief version of the PID-5 in the EMA assessments, comprising one item per facet (three per domain; 15 items in total). Items were selected from the full 220-item instrument with a structured psychometric procedure—exploratory factor analysis (loadings ≥ .40) and Mokken scaling (Loevinger's </w:t>
      </w:r>
      <w:r w:rsidRPr="004D292B">
        <w:rPr>
          <w:i/>
          <w:iCs/>
        </w:rPr>
        <w:t>H</w:t>
      </w:r>
      <w:r w:rsidRPr="004D292B">
        <w:t xml:space="preserve"> ≥ .30) in an independent Italian sample (</w:t>
      </w:r>
      <w:r w:rsidRPr="004D292B">
        <w:rPr>
          <w:i/>
          <w:iCs/>
        </w:rPr>
        <w:t>N</w:t>
      </w:r>
      <w:r w:rsidRPr="004D292B">
        <w:t xml:space="preserve"> = 1,183; Sica </w:t>
      </w:r>
      <w:r w:rsidRPr="004D292B">
        <w:lastRenderedPageBreak/>
        <w:t>et al., 2024)—retaining the strongest, most scalable item for each facet (</w:t>
      </w:r>
      <w:r w:rsidR="007F3A21" w:rsidRPr="004D292B">
        <w:rPr>
          <w:lang w:val="en-IT"/>
        </w:rPr>
        <w:t>see Section 2.3 of the Supplement for the full procedure and item list</w:t>
      </w:r>
      <w:r w:rsidRPr="004D292B">
        <w:t>).</w:t>
      </w:r>
    </w:p>
    <w:p w14:paraId="38D80521" w14:textId="77777777" w:rsidR="002B6180" w:rsidRPr="004D292B" w:rsidRDefault="00000000">
      <w:pPr>
        <w:pStyle w:val="BodyText"/>
      </w:pPr>
      <w:r w:rsidRPr="004D292B">
        <w:t>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were rated on the same 0–3 scale used in the full PID-5, but were rephrased to assess current states (e.g., ‘At this moment, I worry a lot about being alone’), whereas the original PID-5 items assess general tendencies (e.g., ‘I worry a lot about being alone’).</w:t>
      </w:r>
    </w:p>
    <w:p w14:paraId="52498F90" w14:textId="77777777" w:rsidR="002B6180" w:rsidRPr="004D292B" w:rsidRDefault="00000000">
      <w:pPr>
        <w:pStyle w:val="BodyText"/>
      </w:pPr>
      <w:r w:rsidRPr="004D292B">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6B157993" w14:textId="77777777" w:rsidR="00364156" w:rsidRPr="004D292B" w:rsidRDefault="00000000">
      <w:pPr>
        <w:pStyle w:val="BodyText"/>
      </w:pPr>
      <w:r w:rsidRPr="004D292B">
        <w:t>The same EMA notifications included the manipulation-check items used below: angry, sad, happy, satisfied, perceived threat, and situational pleasantness. Happy and satisfied were reverse-keyed for the negative-affect composite; pleasantness was analyzed in its original direction and, in a descriptive appraisal composite, reverse-keyed together with threat (SM, Section S-MC).</w:t>
      </w:r>
    </w:p>
    <w:p w14:paraId="31E5FCAE" w14:textId="571C338B" w:rsidR="002B6180" w:rsidRPr="004D292B" w:rsidRDefault="00000000" w:rsidP="00CB1494">
      <w:pPr>
        <w:pStyle w:val="BodyText"/>
      </w:pPr>
      <w:r w:rsidRPr="004D292B">
        <w:rPr>
          <w:b/>
          <w:bCs/>
        </w:rPr>
        <w:t>Data quality and compliance.</w:t>
      </w:r>
      <w:r w:rsidRPr="004D292B">
        <w:t xml:space="preserve"> </w:t>
      </w:r>
      <w:r w:rsidR="00981DBB" w:rsidRPr="004D292B">
        <w:t xml:space="preserve">EMA data quality was evaluated using participant-level compliance and response-quality criteria prior to analysis. Participants with fewer than 5 completed EMA assessments were excluded. </w:t>
      </w:r>
      <w:r w:rsidR="007F3A21" w:rsidRPr="004D292B">
        <w:t xml:space="preserve">Beyond this minimum-response threshold, we screened for careless or insufficient-effort responding using multiple indicators of response </w:t>
      </w:r>
      <w:r w:rsidR="007F3A21" w:rsidRPr="004D292B">
        <w:lastRenderedPageBreak/>
        <w:t>invariability and atypical response patterns (see Supplement, Section 1.3, for a detailed description of the screening procedure and the full exclusion flow).</w:t>
      </w:r>
      <w:r w:rsidR="00981DBB" w:rsidRPr="004D292B">
        <w:t xml:space="preserve"> Applying these criteria resulted in the exclusion of 12 participants, reducing the sample from </w:t>
      </w:r>
      <w:r w:rsidR="00981DBB" w:rsidRPr="004D292B">
        <w:rPr>
          <w:rStyle w:val="Emphasis"/>
        </w:rPr>
        <w:t>n</w:t>
      </w:r>
      <w:r w:rsidR="00981DBB" w:rsidRPr="004D292B">
        <w:t xml:space="preserve"> = 131 to </w:t>
      </w:r>
      <w:r w:rsidR="00981DBB" w:rsidRPr="004D292B">
        <w:rPr>
          <w:rStyle w:val="Emphasis"/>
        </w:rPr>
        <w:t>n</w:t>
      </w:r>
      <w:r w:rsidR="00981DBB" w:rsidRPr="004D292B">
        <w:t xml:space="preserve"> = 119. The final analytic sample included participants with complete voice data and valid EMA responses.</w:t>
      </w:r>
    </w:p>
    <w:p w14:paraId="69E0670B" w14:textId="06F25302" w:rsidR="00CC1070" w:rsidRPr="004D292B" w:rsidRDefault="00CC1070" w:rsidP="00CC1070">
      <w:pPr>
        <w:pStyle w:val="BodyText"/>
        <w:ind w:firstLine="0"/>
        <w:rPr>
          <w:b/>
          <w:bCs/>
          <w:i/>
          <w:iCs/>
        </w:rPr>
      </w:pPr>
      <w:r w:rsidRPr="004D292B">
        <w:rPr>
          <w:b/>
          <w:bCs/>
          <w:i/>
          <w:iCs/>
        </w:rPr>
        <w:t>PID-5 score distributions</w:t>
      </w:r>
      <w:r w:rsidRPr="004D292B">
        <w:rPr>
          <w:b/>
          <w:bCs/>
          <w:i/>
          <w:iCs/>
          <w:noProof/>
        </w:rPr>
        <w:drawing>
          <wp:inline distT="0" distB="0" distL="0" distR="0" wp14:anchorId="3E382089" wp14:editId="43E0F47D">
            <wp:extent cx="5972810" cy="3294380"/>
            <wp:effectExtent l="0" t="0" r="0" b="0"/>
            <wp:docPr id="37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59" name="Picture 3794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294380"/>
                    </a:xfrm>
                    <a:prstGeom prst="rect">
                      <a:avLst/>
                    </a:prstGeom>
                  </pic:spPr>
                </pic:pic>
              </a:graphicData>
            </a:graphic>
          </wp:inline>
        </w:drawing>
      </w:r>
    </w:p>
    <w:p w14:paraId="6A14A187" w14:textId="57B22FCB" w:rsidR="00CC1070" w:rsidRPr="004D292B" w:rsidRDefault="00CC1070" w:rsidP="00CC1070">
      <w:pPr>
        <w:pStyle w:val="BodyText"/>
        <w:ind w:firstLine="0"/>
      </w:pPr>
      <w:r w:rsidRPr="004D292B">
        <w:t xml:space="preserve">Figure 1 shows the distributions of baseline full PID-5 domain scores and EMA-derived person-level domain means on a common 0–3 item-mean metric. The EMA scores were originally computed as sums of three items per domain and were therefore rescaled by dividing by three. This resolves the apparent scaling discrepancy noted at submission: the previously reported Negative Affectivity between-person mean of 4.53 was a three-item sum (0–9) and corresponds to 1.51 on the 0–3 metric. The distributions indicate that the sample covered meaningful variability in Negative Affectivity, Detachment, and Disinhibition, whereas Antagonism and Psychoticism were concentrated toward the lower end of the scale, most markedly in the EMA </w:t>
      </w:r>
      <w:r w:rsidRPr="004D292B">
        <w:lastRenderedPageBreak/>
        <w:t>person-means, where the modal score is near zero, as expected in a non-clinical university sample. Consequently, moderation effects involving these domains should be interpreted as effects within a restricted, mostly subclinical range. Because the latent traits entering the moderation models are standardized, these estimates remain interpretable, but the limited between-person spread for these two domains constrains their precision.</w:t>
      </w:r>
    </w:p>
    <w:p w14:paraId="5F1B77D9" w14:textId="77777777" w:rsidR="00F40FFE" w:rsidRPr="004D292B" w:rsidRDefault="00F40FFE" w:rsidP="00CB1494">
      <w:pPr>
        <w:pStyle w:val="Heading3"/>
        <w:framePr w:wrap="auto" w:vAnchor="margin" w:yAlign="inline"/>
        <w:spacing w:line="480" w:lineRule="auto"/>
        <w:ind w:firstLine="0"/>
        <w:rPr>
          <w:i/>
          <w:iCs/>
        </w:rPr>
      </w:pPr>
      <w:r w:rsidRPr="004D292B">
        <w:rPr>
          <w:i/>
          <w:iCs/>
        </w:rPr>
        <w:t>Voice Recordings</w:t>
      </w:r>
    </w:p>
    <w:p w14:paraId="3BD1BB77" w14:textId="77777777" w:rsidR="004140CD" w:rsidRPr="004D292B" w:rsidRDefault="004140CD" w:rsidP="004140CD">
      <w:pPr>
        <w:pStyle w:val="BodyText"/>
      </w:pPr>
      <w:r w:rsidRPr="004D292B">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 Before the first session, participants were familiarized with the speech and voice tasks through worked example demonstrations, to improve the consistency and replicability of the recordings.</w:t>
      </w:r>
    </w:p>
    <w:bookmarkEnd w:id="5"/>
    <w:p w14:paraId="781192D4" w14:textId="77777777" w:rsidR="002B6180" w:rsidRPr="004D292B" w:rsidRDefault="00000000" w:rsidP="00F40FFE">
      <w:pPr>
        <w:pStyle w:val="BodyText"/>
      </w:pPr>
      <w:r w:rsidRPr="004D292B">
        <w:rPr>
          <w:b/>
          <w:bCs/>
        </w:rPr>
        <w:t>Stimuli.</w:t>
      </w:r>
      <w:r w:rsidRPr="004D292B">
        <w:t xml:space="preserve"> The recording protocol included the following tasks: </w:t>
      </w:r>
    </w:p>
    <w:p w14:paraId="553ABD9C" w14:textId="77777777" w:rsidR="002B6180" w:rsidRPr="004D292B" w:rsidRDefault="00000000" w:rsidP="00F40FFE">
      <w:pPr>
        <w:pStyle w:val="Compact"/>
        <w:numPr>
          <w:ilvl w:val="0"/>
          <w:numId w:val="25"/>
        </w:numPr>
        <w:spacing w:line="480" w:lineRule="auto"/>
      </w:pPr>
      <w:r w:rsidRPr="004D292B">
        <w:t>Three repetitions of sustained Italian cardinal vowels (/a/, /i/, /u/), each held for a minimum of 3s.</w:t>
      </w:r>
    </w:p>
    <w:p w14:paraId="4988E768" w14:textId="77777777" w:rsidR="002B6180" w:rsidRPr="004D292B" w:rsidRDefault="00000000" w:rsidP="00F40FFE">
      <w:pPr>
        <w:pStyle w:val="Compact"/>
        <w:numPr>
          <w:ilvl w:val="0"/>
          <w:numId w:val="25"/>
        </w:numPr>
        <w:spacing w:line="480" w:lineRule="auto"/>
      </w:pPr>
      <w:r w:rsidRPr="004D292B">
        <w:t>A coarticulation task consisting of counting aloud from 1 to 10 in Italian.</w:t>
      </w:r>
    </w:p>
    <w:p w14:paraId="2422638A" w14:textId="77777777" w:rsidR="002B6180" w:rsidRPr="004D292B" w:rsidRDefault="00000000" w:rsidP="00F40FFE">
      <w:pPr>
        <w:pStyle w:val="Compact"/>
        <w:numPr>
          <w:ilvl w:val="0"/>
          <w:numId w:val="25"/>
        </w:numPr>
        <w:spacing w:line="480" w:lineRule="auto"/>
      </w:pPr>
      <w:r w:rsidRPr="004D292B">
        <w:lastRenderedPageBreak/>
        <w:t xml:space="preserve">A standardized, constantly voiced Italian sentence: </w:t>
      </w:r>
      <w:r w:rsidRPr="004D292B">
        <w:rPr>
          <w:i/>
          <w:iCs/>
        </w:rPr>
        <w:t>“Io amo le aiuole della mamma”</w:t>
      </w:r>
      <w:r w:rsidRPr="004D292B">
        <w:t xml:space="preserve"> (English translation: </w:t>
      </w:r>
      <w:r w:rsidRPr="004D292B">
        <w:rPr>
          <w:i/>
          <w:iCs/>
        </w:rPr>
        <w:t>“I love my mother’s flowerbeds”</w:t>
      </w:r>
      <w:r w:rsidRPr="004D292B">
        <w:t>).</w:t>
      </w:r>
    </w:p>
    <w:p w14:paraId="5651AAAA" w14:textId="77777777" w:rsidR="002B6180" w:rsidRPr="004D292B" w:rsidRDefault="00000000">
      <w:pPr>
        <w:pStyle w:val="BodyText"/>
      </w:pPr>
      <w:r w:rsidRPr="004D292B">
        <w:rPr>
          <w:b/>
          <w:bCs/>
        </w:rPr>
        <w:t xml:space="preserve">Recording quality control and analytic sample. </w:t>
      </w:r>
      <w:r w:rsidRPr="004D292B">
        <w:t>Because remote smartphone collection introduces heterogeneity in recording hardware and acoustic environments, all files were screened before acoustic feature extraction. We first verified file integrity and readability, excluding files that were corrupted or incomplete. We then checked task compliance, verifying that each file contained the intended sustained-vowel production and that the phonation was sufficiently long to isolate a steady-state segment, and we screened the recordings for artifacts. During database construction we additionally identified a small number of participants whose pre- and post-stressor recordings were identical; these cases were excluded. For the sustained-vowel task, the initial recordings comprised 175 baseline, 180 pre-exam, and 180 post-exam files; requiring a complete baseline–pre–post set for each participant reduced this to 141 participants, and quality control reduced it further to 137. For the connected-speech task, 131 participants had a complete set of recordings, reduced to 127 after quality control. The final analytic sample comprised 119 participants with usable recordings for both tasks and valid EMA responses.</w:t>
      </w:r>
    </w:p>
    <w:p w14:paraId="5651680B" w14:textId="65E22E27" w:rsidR="009A6D26" w:rsidRPr="004D292B" w:rsidRDefault="00F40FFE" w:rsidP="009A6D26">
      <w:pPr>
        <w:pStyle w:val="Heading3"/>
        <w:framePr w:wrap="auto" w:vAnchor="margin" w:yAlign="inline"/>
        <w:spacing w:line="480" w:lineRule="auto"/>
        <w:rPr>
          <w:b w:val="0"/>
          <w:bCs w:val="0"/>
        </w:rPr>
      </w:pPr>
      <w:r w:rsidRPr="004D292B">
        <w:rPr>
          <w:bCs w:val="0"/>
        </w:rPr>
        <w:lastRenderedPageBreak/>
        <w:t>Acoustic Feature Extraction</w:t>
      </w:r>
      <w:r w:rsidRPr="004D292B">
        <w:rPr>
          <w:b w:val="0"/>
        </w:rPr>
        <w:t xml:space="preserve">. Acoustic features were extracted from traditional phonatory parameters derived from sustained vowel phonations. Although the recording protocol also included connected speech tasks (counting and a standardized sentence), the primary analyses focused on sustained vowel productions, with connected-speech MFCCs retained as a supplementary robustness check. Sustained vowels provide a quasi-stationary signal that allows reliable extraction of perturbation and noise parameters, minimizing confounds introduced by articulatory transitions and prosodic variation (Titze, 1994). We focused on two parameters—mean F0 and NNE—selected a priori as the focal pitch and voice-quality indices on the basis of their well-established sensitivity to stress and phonatory quality in the literature. </w:t>
      </w:r>
      <w:proofErr w:type="spellStart"/>
      <w:r w:rsidR="007F3A21" w:rsidRPr="004D292B">
        <w:rPr>
          <w:b w:val="0"/>
        </w:rPr>
        <w:t>BioVoice</w:t>
      </w:r>
      <w:proofErr w:type="spellEnd"/>
      <w:r w:rsidR="007F3A21" w:rsidRPr="004D292B">
        <w:rPr>
          <w:b w:val="0"/>
        </w:rPr>
        <w:t xml:space="preserve"> estimates a broader set of acoustic parameters; the complete set is documented in the Supplementary Material (Section 3.2.1) and in the original </w:t>
      </w:r>
      <w:proofErr w:type="spellStart"/>
      <w:r w:rsidR="007F3A21" w:rsidRPr="004D292B">
        <w:rPr>
          <w:b w:val="0"/>
        </w:rPr>
        <w:t>BioVoice</w:t>
      </w:r>
      <w:proofErr w:type="spellEnd"/>
      <w:r w:rsidR="007F3A21" w:rsidRPr="004D292B">
        <w:rPr>
          <w:b w:val="0"/>
        </w:rPr>
        <w:t xml:space="preserve"> reports (Morelli et al., 2021)</w:t>
      </w:r>
      <w:r w:rsidRPr="004D292B">
        <w:rPr>
          <w:b w:val="0"/>
        </w:rPr>
        <w:t>. Further acoustic characteristics—such as formant-based indices of articulation and the derived vowel space, together with the connected-speech counting task—are reserved for future analyses in larger clinical samples.</w:t>
      </w:r>
    </w:p>
    <w:p w14:paraId="0C114FB5" w14:textId="31118CB9" w:rsidR="002B6180" w:rsidRPr="004D292B" w:rsidRDefault="00000000">
      <w:pPr>
        <w:pStyle w:val="BodyText"/>
      </w:pPr>
      <w:r w:rsidRPr="004D292B">
        <w:rPr>
          <w:b/>
          <w:bCs/>
        </w:rPr>
        <w:t>Sustained vowel analysis.</w:t>
      </w:r>
      <w:r w:rsidRPr="004D292B">
        <w:t xml:space="preserve"> Frequency- and time-domain acoustic parameters were extracted from sustained vowel productions using the open-source </w:t>
      </w:r>
      <w:proofErr w:type="spellStart"/>
      <w:r w:rsidRPr="004D292B">
        <w:t>BioVoice</w:t>
      </w:r>
      <w:proofErr w:type="spellEnd"/>
      <w:r w:rsidRPr="004D292B">
        <w:t xml:space="preserve"> software (Morelli et al., 2021).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0F2B80D7" w14:textId="77777777" w:rsidR="002B6180" w:rsidRPr="004D292B" w:rsidRDefault="00000000">
      <w:pPr>
        <w:pStyle w:val="BodyText"/>
      </w:pPr>
      <w:r w:rsidRPr="004D292B">
        <w:rPr>
          <w:b/>
          <w:bCs/>
        </w:rPr>
        <w:t>Fundamental frequency (F0).</w:t>
      </w:r>
      <w:r w:rsidRPr="004D292B">
        <w:t xml:space="preserve"> Mean and median F0 were computed as indices of average vocal fold vibratory rate, while the standard deviation of F0 indexed short-term pitch variability. In addition, the temporal location of the maximum F0 value (T0) was extracted as a marker of </w:t>
      </w:r>
      <w:r w:rsidRPr="004D292B">
        <w:lastRenderedPageBreak/>
        <w:t>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12FA606C" w14:textId="77777777" w:rsidR="002B6180" w:rsidRPr="004D292B" w:rsidRDefault="00000000">
      <w:pPr>
        <w:pStyle w:val="BodyText"/>
      </w:pPr>
      <w:r w:rsidRPr="004D292B">
        <w:rPr>
          <w:b/>
          <w:bCs/>
        </w:rPr>
        <w:t>Normalized Noise Energy (NNE).</w:t>
      </w:r>
      <w:r w:rsidRPr="004D292B">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A51B812" w14:textId="77777777" w:rsidR="00EE40D4" w:rsidRPr="004D292B" w:rsidRDefault="00000000" w:rsidP="00EE40D4">
      <w:pPr>
        <w:pStyle w:val="BodyText"/>
      </w:pPr>
      <w:r w:rsidRPr="004D292B">
        <w:rPr>
          <w:b/>
          <w:bCs/>
        </w:rPr>
        <w:t>Selection of acoustic parameters.</w:t>
      </w:r>
      <w:r w:rsidRPr="004D292B">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w:t>
      </w:r>
      <w:r w:rsidRPr="004D292B">
        <w:lastRenderedPageBreak/>
        <w:t>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1C0F6428" w14:textId="77777777" w:rsidR="00EE40D4" w:rsidRPr="004D292B" w:rsidRDefault="00EE40D4" w:rsidP="00EE40D4">
      <w:pPr>
        <w:pStyle w:val="Heading2"/>
      </w:pPr>
      <w:r w:rsidRPr="004D292B">
        <w:t>Data Quality</w:t>
      </w:r>
    </w:p>
    <w:p w14:paraId="15820F4D" w14:textId="6277A9FD" w:rsidR="002B6180" w:rsidRPr="004D292B" w:rsidRDefault="00EE40D4" w:rsidP="00EE40D4">
      <w:pPr>
        <w:pStyle w:val="BodyText"/>
      </w:pPr>
      <w:r w:rsidRPr="004D292B">
        <w:rPr>
          <w:b/>
          <w:bCs/>
        </w:rPr>
        <w:t xml:space="preserve">EMA Compliance and Quality Control. </w:t>
      </w:r>
      <w:bookmarkStart w:id="6" w:name="data-quality"/>
      <w:bookmarkStart w:id="7" w:name="ema-compliance-and-quality-control"/>
      <w:bookmarkEnd w:id="4"/>
      <w:r w:rsidR="00A45AC2" w:rsidRPr="004D292B">
        <w:t>EMA data quality was evaluated using participant-level compliance and response-quality criteria prior to analysis. Participants with fewer than 5 completed EMA assessments were excluded. Beyond this minimum-response threshold, we screened for careless or insufficient-effort responding using multiple indicators of response invariability and atypical response patterns, as detailed in the Supplement</w:t>
      </w:r>
      <w:r w:rsidR="00C83CB2" w:rsidRPr="004D292B">
        <w:t xml:space="preserve"> (Section 1.3)</w:t>
      </w:r>
      <w:r w:rsidR="00A45AC2" w:rsidRPr="004D292B">
        <w:t xml:space="preserve">. Applying these criteria resulted in the exclusion of 12 participants, reducing the sample from </w:t>
      </w:r>
      <w:r w:rsidR="00A45AC2" w:rsidRPr="004D292B">
        <w:rPr>
          <w:rStyle w:val="Emphasis"/>
        </w:rPr>
        <w:t>n</w:t>
      </w:r>
      <w:r w:rsidR="00A45AC2" w:rsidRPr="004D292B">
        <w:t xml:space="preserve"> = 131 to </w:t>
      </w:r>
      <w:r w:rsidR="00A45AC2" w:rsidRPr="004D292B">
        <w:rPr>
          <w:rStyle w:val="Emphasis"/>
        </w:rPr>
        <w:t>n</w:t>
      </w:r>
      <w:r w:rsidR="00A45AC2" w:rsidRPr="004D292B">
        <w:t xml:space="preserve"> = 119. The final analytic sample included participants with complete voice data and valid EMA responses.</w:t>
      </w:r>
    </w:p>
    <w:p w14:paraId="3991BC5D" w14:textId="77777777" w:rsidR="002B6180" w:rsidRPr="004D292B" w:rsidRDefault="00000000" w:rsidP="004E02DE">
      <w:pPr>
        <w:pStyle w:val="Heading2"/>
      </w:pPr>
      <w:bookmarkStart w:id="8" w:name="convergent-validity-of-ema-measures"/>
      <w:bookmarkEnd w:id="6"/>
      <w:bookmarkEnd w:id="7"/>
      <w:r w:rsidRPr="004D292B">
        <w:t xml:space="preserve">Convergent Validity of EMA Measures. </w:t>
      </w:r>
      <w:r w:rsidRPr="004D292B">
        <w:rPr>
          <w:b w:val="0"/>
          <w:bCs/>
        </w:rPr>
        <w:t>To establish construct validity of the brief EMA assessment, we computed correlations between person-level EMA domain scores (aggregated across all assessments) and full baseline PID-5 domains.</w:t>
      </w:r>
    </w:p>
    <w:p w14:paraId="26F408E3" w14:textId="77777777" w:rsidR="002B6180" w:rsidRPr="004D292B" w:rsidRDefault="00000000">
      <w:pPr>
        <w:pStyle w:val="Heading2"/>
      </w:pPr>
      <w:bookmarkStart w:id="9" w:name="statistical-analysis"/>
      <w:bookmarkEnd w:id="8"/>
      <w:r w:rsidRPr="004D292B">
        <w:t>Statistical Analysis</w:t>
      </w:r>
    </w:p>
    <w:p w14:paraId="7B05C2C7" w14:textId="77777777" w:rsidR="002B6180" w:rsidRPr="004D292B" w:rsidRDefault="00000000">
      <w:pPr>
        <w:pStyle w:val="FirstParagraph"/>
      </w:pPr>
      <w:r w:rsidRPr="004D292B">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270E5617" w14:textId="77777777" w:rsidR="002B6180" w:rsidRPr="004D292B" w:rsidRDefault="00000000">
      <w:pPr>
        <w:pStyle w:val="BodyText"/>
      </w:pPr>
      <w:r w:rsidRPr="004D292B">
        <w:lastRenderedPageBreak/>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6C096554" w14:textId="77777777" w:rsidR="002B6180" w:rsidRPr="004D292B" w:rsidRDefault="00000000">
      <w:pPr>
        <w:pStyle w:val="BodyText"/>
      </w:pPr>
      <w:r w:rsidRPr="004D292B">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3F813177" w14:textId="77777777" w:rsidR="00F50C2B" w:rsidRPr="004D292B" w:rsidRDefault="004F11CD" w:rsidP="00F50C2B">
      <w:pPr>
        <w:pStyle w:val="Heading3"/>
        <w:framePr w:wrap="auto" w:vAnchor="margin" w:yAlign="inline"/>
        <w:spacing w:line="480" w:lineRule="auto"/>
        <w:rPr>
          <w:b w:val="0"/>
          <w:bCs w:val="0"/>
        </w:rPr>
      </w:pPr>
      <w:r w:rsidRPr="004D292B">
        <w:t xml:space="preserve">Estimation. </w:t>
      </w:r>
      <w:r w:rsidRPr="004D292B">
        <w:rPr>
          <w:b w:val="0"/>
          <w:bCs w:val="0"/>
        </w:rPr>
        <w:t>Models were estimated using Hamiltonian Monte Carlo with 4 chains of 4,000 iterations each (</w:t>
      </w:r>
      <w:r w:rsidRPr="004D292B">
        <w:t>2,000 warmup). Convergence was assessed via Rhat &lt; 1.01 and effective sample size &gt; 400. Adaptation parameters (</w:t>
      </w:r>
      <w:r w:rsidRPr="004D292B">
        <w:rPr>
          <w:b w:val="0"/>
          <w:bCs w:val="0"/>
          <w:i/>
          <w:iCs/>
        </w:rPr>
        <w:t>adapt_delta</w:t>
      </w:r>
      <w:r w:rsidRPr="004D292B">
        <w:rPr>
          <w:b w:val="0"/>
          <w:bCs w:val="0"/>
        </w:rPr>
        <w:t xml:space="preserve"> = 0.95, </w:t>
      </w:r>
      <w:r w:rsidRPr="004D292B">
        <w:rPr>
          <w:b w:val="0"/>
          <w:bCs w:val="0"/>
          <w:i/>
          <w:iCs/>
        </w:rPr>
        <w:t>max_treedepth</w:t>
      </w:r>
      <w:r w:rsidRPr="004D292B">
        <w:rPr>
          <w:b w:val="0"/>
          <w:bCs w:val="0"/>
        </w:rPr>
        <w:t xml:space="preserve"> = 18) prevented divergent transitions. The higher-dimensional personality-moderation models were estimated with a longer configuration: 4 chains of 8,000 iterations each (2,000 warmup; 24,000 post-warmup draws), with adapt_delta = 0.99 and max_treedepth = 15. For models with convergence difficulties, we increased iterations or simplified random effects structures.</w:t>
      </w:r>
    </w:p>
    <w:p w14:paraId="5A5375ED" w14:textId="77777777" w:rsidR="00F50C2B" w:rsidRPr="004D292B" w:rsidRDefault="00F50C2B" w:rsidP="00F50C2B">
      <w:pPr>
        <w:spacing w:line="360" w:lineRule="auto"/>
        <w:ind w:firstLine="680"/>
      </w:pPr>
      <w:r w:rsidRPr="004D292B">
        <w:rPr>
          <w:b/>
          <w:bCs/>
        </w:rPr>
        <w:t>Inference</w:t>
      </w:r>
      <w:r w:rsidRPr="004D292B">
        <w:t>. All analyses are Bayesian, and we report and interpret full posterior</w:t>
      </w:r>
    </w:p>
    <w:p w14:paraId="4EDFDAD1" w14:textId="77777777" w:rsidR="00F50C2B" w:rsidRPr="004D292B" w:rsidRDefault="00F50C2B" w:rsidP="00F50C2B">
      <w:pPr>
        <w:spacing w:line="360" w:lineRule="auto"/>
      </w:pPr>
      <w:r w:rsidRPr="004D292B">
        <w:t>distributions rather than dichotomous test outcomes. For each parameter we report the</w:t>
      </w:r>
    </w:p>
    <w:p w14:paraId="7CDA55F8" w14:textId="77777777" w:rsidR="00F50C2B" w:rsidRPr="004D292B" w:rsidRDefault="00F50C2B" w:rsidP="00F50C2B">
      <w:pPr>
        <w:spacing w:line="360" w:lineRule="auto"/>
      </w:pPr>
      <w:r w:rsidRPr="004D292B">
        <w:t>posterior median, the probability of direction (</w:t>
      </w:r>
      <w:r w:rsidRPr="004D292B">
        <w:rPr>
          <w:i/>
          <w:iCs/>
        </w:rPr>
        <w:t>pd</w:t>
      </w:r>
      <w:r w:rsidRPr="004D292B">
        <w:t>; the posterior probability that the</w:t>
      </w:r>
    </w:p>
    <w:p w14:paraId="5F210753" w14:textId="77777777" w:rsidR="00F50C2B" w:rsidRPr="004D292B" w:rsidRDefault="00F50C2B" w:rsidP="00F50C2B">
      <w:pPr>
        <w:spacing w:line="360" w:lineRule="auto"/>
      </w:pPr>
      <w:r w:rsidRPr="004D292B">
        <w:t xml:space="preserve">parameter takes its more probable sign), and an 89% equal-tailed credible interval. The </w:t>
      </w:r>
      <w:r w:rsidRPr="004D292B">
        <w:rPr>
          <w:i/>
          <w:iCs/>
        </w:rPr>
        <w:t>pd</w:t>
      </w:r>
    </w:p>
    <w:p w14:paraId="1122DB23" w14:textId="77777777" w:rsidR="00F50C2B" w:rsidRPr="004D292B" w:rsidRDefault="00F50C2B" w:rsidP="00F50C2B">
      <w:pPr>
        <w:spacing w:line="360" w:lineRule="auto"/>
      </w:pPr>
      <w:r w:rsidRPr="004D292B">
        <w:t>is our primary index of evidence and is interpreted as a continuous measure of directional</w:t>
      </w:r>
    </w:p>
    <w:p w14:paraId="013D9B58" w14:textId="77777777" w:rsidR="00F50C2B" w:rsidRPr="004D292B" w:rsidRDefault="00F50C2B" w:rsidP="00F50C2B">
      <w:pPr>
        <w:spacing w:line="360" w:lineRule="auto"/>
      </w:pPr>
      <w:r w:rsidRPr="004D292B">
        <w:lastRenderedPageBreak/>
        <w:t>certainty, not as a threshold to be crossed; it is a probability statement about the</w:t>
      </w:r>
    </w:p>
    <w:p w14:paraId="337D3957" w14:textId="77777777" w:rsidR="00F50C2B" w:rsidRPr="004D292B" w:rsidRDefault="00F50C2B" w:rsidP="00F50C2B">
      <w:pPr>
        <w:spacing w:line="360" w:lineRule="auto"/>
      </w:pPr>
      <w:r w:rsidRPr="004D292B">
        <w:t>parameter that has no frequentist counterpart (Makowski et al., 2019; McElreath, 2020). The</w:t>
      </w:r>
    </w:p>
    <w:p w14:paraId="660D8530" w14:textId="77777777" w:rsidR="00F50C2B" w:rsidRPr="004D292B" w:rsidRDefault="00F50C2B" w:rsidP="00F50C2B">
      <w:pPr>
        <w:spacing w:line="360" w:lineRule="auto"/>
      </w:pPr>
      <w:r w:rsidRPr="004D292B">
        <w:t xml:space="preserve">credible interval summarizes uncertainty about the </w:t>
      </w:r>
      <w:r w:rsidRPr="004D292B">
        <w:rPr>
          <w:i/>
          <w:iCs/>
        </w:rPr>
        <w:t>magnitude</w:t>
      </w:r>
      <w:r w:rsidRPr="004D292B">
        <w:t xml:space="preserve"> of an effect and is not used</w:t>
      </w:r>
    </w:p>
    <w:p w14:paraId="2FBB6BD3" w14:textId="77777777" w:rsidR="00F50C2B" w:rsidRPr="004D292B" w:rsidRDefault="00F50C2B" w:rsidP="00F50C2B">
      <w:pPr>
        <w:spacing w:line="360" w:lineRule="auto"/>
      </w:pPr>
      <w:r w:rsidRPr="004D292B">
        <w:t>as a significance test — its inclusion or exclusion of zero carries no special status, and</w:t>
      </w:r>
    </w:p>
    <w:p w14:paraId="442456AB" w14:textId="77777777" w:rsidR="00F50C2B" w:rsidRPr="004D292B" w:rsidRDefault="00F50C2B" w:rsidP="00F50C2B">
      <w:pPr>
        <w:spacing w:line="360" w:lineRule="auto"/>
      </w:pPr>
      <w:r w:rsidRPr="004D292B">
        <w:t>the 89% width is an explicitly arbitrary descriptive choice (McElreath, 2020). We interpret</w:t>
      </w:r>
    </w:p>
    <w:p w14:paraId="411DAFDE" w14:textId="77777777" w:rsidR="00F50C2B" w:rsidRPr="004D292B" w:rsidRDefault="00F50C2B" w:rsidP="00F50C2B">
      <w:pPr>
        <w:spacing w:line="360" w:lineRule="auto"/>
      </w:pPr>
      <w:r w:rsidRPr="004D292B">
        <w:t>the overall pattern of directional evidence across parameters rather than the status of any</w:t>
      </w:r>
    </w:p>
    <w:p w14:paraId="7C809CAE" w14:textId="4EBF40D5" w:rsidR="00BE3EE6" w:rsidRPr="004D292B" w:rsidRDefault="00F50C2B" w:rsidP="00F50C2B">
      <w:pPr>
        <w:spacing w:line="360" w:lineRule="auto"/>
      </w:pPr>
      <w:r w:rsidRPr="004D292B">
        <w:t xml:space="preserve">single estimate and, because the present sample </w:t>
      </w:r>
      <w:proofErr w:type="gramStart"/>
      <w:r w:rsidRPr="004D292B">
        <w:t>constrains</w:t>
      </w:r>
      <w:proofErr w:type="gramEnd"/>
      <w:r w:rsidRPr="004D292B">
        <w:t xml:space="preserve"> effect magnitudes only loosely, we foreground the direction and strength of</w:t>
      </w:r>
      <w:r w:rsidR="00F21191" w:rsidRPr="004D292B">
        <w:t xml:space="preserve"> </w:t>
      </w:r>
      <w:r w:rsidRPr="004D292B">
        <w:t xml:space="preserve">associations over their precise size. </w:t>
      </w:r>
      <w:r w:rsidR="00FD3E94" w:rsidRPr="00FD3E94">
        <w:t>Full details of the inferential framework are provided in Section 4.1.2 of the Supplement</w:t>
      </w:r>
      <w:r w:rsidRPr="004D292B">
        <w:t>.</w:t>
      </w:r>
    </w:p>
    <w:p w14:paraId="6D07B1D9" w14:textId="77777777" w:rsidR="00FD3D66" w:rsidRPr="004D292B" w:rsidRDefault="00000000" w:rsidP="00381224">
      <w:pPr>
        <w:spacing w:line="360" w:lineRule="auto"/>
        <w:ind w:firstLine="680"/>
      </w:pPr>
      <w:r w:rsidRPr="004D292B">
        <w:t>To address concerns about multiplicity in this many-parameter setting, we relied on partial pooling and weakly informative, regularizing priors on the moderation coefficients, which shrink estimates toward zero and provide the Bayesian counterpart to error-rate control; for the multivariate connected-speech analysis we foregrounded the omnibus profile tests and treated coefficient-level summaries descriptively rather than as separate screening decisions.</w:t>
      </w:r>
    </w:p>
    <w:p w14:paraId="5B3ECE96" w14:textId="77777777" w:rsidR="004F11CD" w:rsidRPr="004D292B" w:rsidRDefault="004F11CD" w:rsidP="00F50C2B">
      <w:pPr>
        <w:pStyle w:val="Heading3"/>
        <w:framePr w:wrap="auto" w:vAnchor="margin" w:yAlign="inline"/>
        <w:spacing w:line="480" w:lineRule="auto"/>
      </w:pPr>
      <w:r w:rsidRPr="004D292B">
        <w:t xml:space="preserve">Data and Code Availability. </w:t>
      </w:r>
      <w:r w:rsidRPr="004D292B">
        <w:rPr>
          <w:b w:val="0"/>
          <w:bCs w:val="0"/>
        </w:rPr>
        <w:t xml:space="preserve">All analysis code and fully anonymized data will be made publicly available upon publication at </w:t>
      </w:r>
      <w:hyperlink r:id="rId9" w:history="1">
        <w:r w:rsidRPr="004D292B">
          <w:rPr>
            <w:rStyle w:val="Hyperlink"/>
            <w:b w:val="0"/>
            <w:bCs w:val="0"/>
            <w:color w:val="auto"/>
          </w:rPr>
          <w:t>https://osf.io/cfasv/overview?view_only=871dcb5155b04b3ba17bc74c82e5cfb1</w:t>
        </w:r>
      </w:hyperlink>
      <w:r w:rsidRPr="004D292B">
        <w:rPr>
          <w:b w:val="0"/>
          <w:bCs w:val="0"/>
        </w:rPr>
        <w:t xml:space="preserve">.  </w:t>
      </w:r>
    </w:p>
    <w:p w14:paraId="13883AF8" w14:textId="77777777" w:rsidR="002B6180" w:rsidRPr="004D292B" w:rsidRDefault="00000000" w:rsidP="00F50C2B">
      <w:pPr>
        <w:pStyle w:val="Heading1"/>
        <w:spacing w:line="360" w:lineRule="auto"/>
      </w:pPr>
      <w:bookmarkStart w:id="10" w:name="results"/>
      <w:bookmarkEnd w:id="1"/>
      <w:bookmarkEnd w:id="9"/>
      <w:r w:rsidRPr="004D292B">
        <w:t>Results</w:t>
      </w:r>
    </w:p>
    <w:p w14:paraId="6C4AF3D7" w14:textId="77777777" w:rsidR="00364156" w:rsidRPr="004D292B" w:rsidRDefault="00000000">
      <w:pPr>
        <w:pStyle w:val="Heading2"/>
      </w:pPr>
      <w:r w:rsidRPr="004D292B">
        <w:t>Manipulation Check of Exam-Related Stress</w:t>
      </w:r>
    </w:p>
    <w:p w14:paraId="12795E58" w14:textId="77777777" w:rsidR="00364156" w:rsidRPr="004D292B" w:rsidRDefault="00000000">
      <w:pPr>
        <w:pStyle w:val="BodyText"/>
      </w:pPr>
      <w:r w:rsidRPr="004D292B">
        <w:t xml:space="preserve">Before testing vocal outcomes, we examined EMA affect and appraisal as an empirical check on the exam stressor. The pre-exam prompt showed higher negative affect than baseline (PRE - BASELINE = 43.92, 89% CrI [31.73, 55.99], Pr &gt; 0 = 1.00). Appraisal items showed the same pattern: perceived threat increased (0.60 [0.43, 0.77], Pr &gt; 0 = 1.00) and pleasantness </w:t>
      </w:r>
      <w:r w:rsidRPr="004D292B">
        <w:lastRenderedPageBreak/>
        <w:t>decreased (-0.61 [-0.76, -0.46], Pr &lt; 0 = 1.00). After the exam, negative affect dropped relative to the pre-exam prompt (-69.70 [-81.81, -57.59]), consistent with post-exam relief. Thus, the exam was treated as a stressor because the EMA manipulation check showed the expected affective and appraisal profile, not solely because of its design features (SM, Section S-MC).</w:t>
      </w:r>
    </w:p>
    <w:p w14:paraId="55250459" w14:textId="77777777" w:rsidR="002B6180" w:rsidRPr="004D292B" w:rsidRDefault="00000000" w:rsidP="00F50C2B">
      <w:pPr>
        <w:pStyle w:val="Heading2"/>
        <w:spacing w:line="360" w:lineRule="auto"/>
      </w:pPr>
      <w:bookmarkStart w:id="11" w:name="Xdede64faa58003e134696d27a9f7d3e2efa32c6"/>
      <w:r w:rsidRPr="004D292B">
        <w:t>Main Effects of Exam-Related Stress on Vocal Acoustics</w:t>
      </w:r>
    </w:p>
    <w:p w14:paraId="0824B4E2" w14:textId="77777777" w:rsidR="002B6180" w:rsidRPr="004D292B" w:rsidRDefault="00000000">
      <w:pPr>
        <w:pStyle w:val="FirstParagraph"/>
      </w:pPr>
      <w:r w:rsidRPr="004D292B">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4D292B">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4D292B">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033C00D2" w14:textId="117F4124" w:rsidR="002B6180" w:rsidRPr="004D292B" w:rsidRDefault="00000000">
      <w:pPr>
        <w:pStyle w:val="BodyText"/>
      </w:pPr>
      <w:r w:rsidRPr="004D292B">
        <w:rPr>
          <w:b/>
          <w:bCs/>
        </w:rPr>
        <w:t>Fundamental frequency.</w:t>
      </w:r>
      <w:r w:rsidRPr="004D292B">
        <w:t xml:space="preserve"> Descriptive statistics revealed a progressive pattern across timepoints. Mean F0 at baseline was 190.7 Hz (</w:t>
      </w:r>
      <w:r w:rsidRPr="004D292B">
        <w:rPr>
          <w:i/>
          <w:iCs/>
        </w:rPr>
        <w:t>SD</w:t>
      </w:r>
      <w:r w:rsidRPr="004D292B">
        <w:t xml:space="preserve"> = 22.0), increasing to 194.0 Hz (</w:t>
      </w:r>
      <w:r w:rsidRPr="004D292B">
        <w:rPr>
          <w:i/>
          <w:iCs/>
        </w:rPr>
        <w:t>SD</w:t>
      </w:r>
      <w:r w:rsidRPr="004D292B">
        <w:t xml:space="preserve"> = 21.9) immediately before the exam and then declining slightly to 192.5 Hz (</w:t>
      </w:r>
      <w:r w:rsidRPr="004D292B">
        <w:rPr>
          <w:i/>
          <w:iCs/>
        </w:rPr>
        <w:t>SD</w:t>
      </w:r>
      <w:r w:rsidRPr="004D292B">
        <w:t xml:space="preserve"> = 23.6) following the exam. The hierarchical model indicated a clear stress-related elevation. The intercept parameter </w:t>
      </w:r>
      <m:oMath>
        <m:r>
          <w:rPr>
            <w:rFonts w:ascii="Cambria Math" w:hAnsi="Cambria Math"/>
          </w:rPr>
          <m:t>α</m:t>
        </m:r>
      </m:oMath>
      <w:r w:rsidRPr="004D292B">
        <w:t>, representing the estimated F0 at baseline, had a posterior median of 192.48 Hz (</w:t>
      </w:r>
      <w:r w:rsidRPr="004D292B">
        <w:rPr>
          <w:i/>
          <w:iCs/>
        </w:rPr>
        <w:t>MAD</w:t>
      </w:r>
      <w:r w:rsidRPr="004D292B">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4D292B">
        <w:t xml:space="preserve"> showed a clear positive effect: F0 increased by 3.27 Hz (</w:t>
      </w:r>
      <w:r w:rsidRPr="004D292B">
        <w:rPr>
          <w:i/>
          <w:iCs/>
        </w:rPr>
        <w:t>MAD</w:t>
      </w:r>
      <w:r w:rsidRPr="004D292B">
        <w:t xml:space="preserve"> = 1.25, 89% </w:t>
      </w:r>
      <w:proofErr w:type="spellStart"/>
      <w:r w:rsidRPr="004D292B">
        <w:t>CrI</w:t>
      </w:r>
      <w:proofErr w:type="spellEnd"/>
      <w:r w:rsidRPr="004D292B">
        <w:t xml:space="preserve"> [1.25, 5.27]) when comparing pre-exam to baseline recordings, with </w:t>
      </w:r>
      <w:proofErr w:type="gramStart"/>
      <w:r w:rsidRPr="004D292B">
        <w:rPr>
          <w:i/>
          <w:iCs/>
        </w:rPr>
        <w:t>P</w:t>
      </w:r>
      <w:r w:rsidRPr="004D292B">
        <w:t>(</w:t>
      </w:r>
      <w:proofErr w:type="gramEnd"/>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4D292B">
        <w:t xml:space="preserve"> &gt; 0) = 0.995. This finding indicates that acute academic stress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D292B">
        <w:t xml:space="preserve"> was essentially null (median = 0.14 Hz, </w:t>
      </w:r>
      <w:r w:rsidRPr="004D292B">
        <w:rPr>
          <w:i/>
          <w:iCs/>
        </w:rPr>
        <w:t>MAD</w:t>
      </w:r>
      <w:r w:rsidRPr="004D292B">
        <w:t xml:space="preserve"> = 1.24, 89% </w:t>
      </w:r>
      <w:proofErr w:type="spellStart"/>
      <w:r w:rsidRPr="004D292B">
        <w:t>CrI</w:t>
      </w:r>
      <w:proofErr w:type="spellEnd"/>
      <w:r w:rsidRPr="004D292B">
        <w:t xml:space="preserve"> [−1.89, 2.11],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rsidRPr="004D292B">
        <w:t xml:space="preserve"> = 0.542), </w:t>
      </w:r>
      <w:r w:rsidRPr="004D292B">
        <w:lastRenderedPageBreak/>
        <w:t>indicating that F0 plateaued after the exam with minimal further change during the brief recovery period.</w:t>
      </w:r>
    </w:p>
    <w:p w14:paraId="2FF82D0A" w14:textId="3E774FE4" w:rsidR="002B6180" w:rsidRPr="004D292B" w:rsidRDefault="00000000">
      <w:pPr>
        <w:pStyle w:val="BodyText"/>
      </w:pPr>
      <w:r w:rsidRPr="004D292B">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rsidRPr="004D292B">
        <w:t xml:space="preserve"> = 19.86 (89% </w:t>
      </w:r>
      <w:proofErr w:type="spellStart"/>
      <w:r w:rsidRPr="004D292B">
        <w:t>CrI</w:t>
      </w:r>
      <w:proofErr w:type="spellEnd"/>
      <w:r w:rsidRPr="004D292B">
        <w:t xml:space="preserve"> [18.07, 21.95]),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rsidRPr="004D292B">
        <w:t xml:space="preserve"> = 1.08 (89% </w:t>
      </w:r>
      <w:proofErr w:type="spellStart"/>
      <w:r w:rsidRPr="004D292B">
        <w:t>CrI</w:t>
      </w:r>
      <w:proofErr w:type="spellEnd"/>
      <w:r w:rsidRPr="004D292B">
        <w:t xml:space="preserve"> [0.09, 3.74]), indicating modest heterogeneity in stress reactivity after accounting for personality moderation (see below). Residual variability within individuals was </w:t>
      </w:r>
      <m:oMath>
        <m:r>
          <w:rPr>
            <w:rFonts w:ascii="Cambria Math" w:hAnsi="Cambria Math"/>
          </w:rPr>
          <m:t>σ</m:t>
        </m:r>
      </m:oMath>
      <w:r w:rsidRPr="004D292B">
        <w:t xml:space="preserve"> = 9.10 Hz (89% </w:t>
      </w:r>
      <w:proofErr w:type="spellStart"/>
      <w:r w:rsidRPr="004D292B">
        <w:t>CrI</w:t>
      </w:r>
      <w:proofErr w:type="spellEnd"/>
      <w:r w:rsidRPr="004D292B">
        <w:t xml:space="preserve"> [8.48, 9.79]).</w:t>
      </w:r>
    </w:p>
    <w:p w14:paraId="5EE4ADAD" w14:textId="4F019E43" w:rsidR="002B6180" w:rsidRPr="004D292B" w:rsidRDefault="00000000">
      <w:pPr>
        <w:pStyle w:val="BodyText"/>
      </w:pPr>
      <w:r w:rsidRPr="004D292B">
        <w:rPr>
          <w:b/>
          <w:bCs/>
        </w:rPr>
        <w:t>Normalized noise energy.</w:t>
      </w:r>
      <w:r w:rsidRPr="004D292B">
        <w:t xml:space="preserve"> In contrast to F0, NNE exhibited a pattern consistent with reduced glottal noise under stress. Descriptively, mean NNE at baseline was -26.55 dB (</w:t>
      </w:r>
      <w:r w:rsidRPr="004D292B">
        <w:rPr>
          <w:i/>
          <w:iCs/>
        </w:rPr>
        <w:t>SD</w:t>
      </w:r>
      <w:r w:rsidRPr="004D292B">
        <w:t xml:space="preserve"> = 2.64), decreasing to -27.09 dB (</w:t>
      </w:r>
      <w:r w:rsidRPr="004D292B">
        <w:rPr>
          <w:i/>
          <w:iCs/>
        </w:rPr>
        <w:t>SD</w:t>
      </w:r>
      <w:r w:rsidRPr="004D292B">
        <w:t xml:space="preserve"> = 3.25) at the pre-exam assessment and remaining relatively stable at -26.98 dB (</w:t>
      </w:r>
      <w:r w:rsidRPr="004D292B">
        <w:rPr>
          <w:i/>
          <w:iCs/>
        </w:rPr>
        <w:t>SD</w:t>
      </w:r>
      <w:r w:rsidRPr="004D292B">
        <w:t xml:space="preserve"> = 2.91) post-exam. More negative NNE values indicate a more periodic, harmonically stable signal. The hierarchical model confirmed systematic stress-induced reduction in glottal noise. The intercept had a posterior median of -26.87 dB (</w:t>
      </w:r>
      <w:r w:rsidRPr="004D292B">
        <w:rPr>
          <w:i/>
          <w:iCs/>
        </w:rPr>
        <w:t>MAD</w:t>
      </w:r>
      <w:r w:rsidRPr="004D292B">
        <w:t xml:space="preserve"> = 0.20, 89% </w:t>
      </w:r>
      <w:proofErr w:type="spellStart"/>
      <w:r w:rsidRPr="004D292B">
        <w:t>CrI</w:t>
      </w:r>
      <w:proofErr w:type="spellEnd"/>
      <w:r w:rsidRPr="004D292B">
        <w:t xml:space="preserve"> [−27.20, −26.53]). The stress contrast showed a robust negative effect: NNE decreased by 0.65 dB (</w:t>
      </w:r>
      <w:r w:rsidRPr="004D292B">
        <w:rPr>
          <w:i/>
          <w:iCs/>
        </w:rPr>
        <w:t>MAD</w:t>
      </w:r>
      <w:r w:rsidRPr="004D292B">
        <w:t xml:space="preserve"> = 0.28, 89% </w:t>
      </w:r>
      <w:proofErr w:type="spellStart"/>
      <w:r w:rsidRPr="004D292B">
        <w:t>CrI</w:t>
      </w:r>
      <w:proofErr w:type="spellEnd"/>
      <w:r w:rsidRPr="004D292B">
        <w:t xml:space="preserve"> [−1.10, −0.21]),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rsidRPr="004D292B">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4D292B">
        <w:t xml:space="preserve"> = −0.22 dB (</w:t>
      </w:r>
      <w:r w:rsidRPr="004D292B">
        <w:rPr>
          <w:i/>
          <w:iCs/>
        </w:rPr>
        <w:t>MAD</w:t>
      </w:r>
      <w:r w:rsidRPr="004D292B">
        <w:t xml:space="preserve"> = 0.28, 89% </w:t>
      </w:r>
      <w:proofErr w:type="spellStart"/>
      <w:r w:rsidRPr="004D292B">
        <w:t>CrI</w:t>
      </w:r>
      <w:proofErr w:type="spellEnd"/>
      <w:r w:rsidRPr="004D292B">
        <w:t xml:space="preserve"> [−0.67, 0.23]). Directional evidence was modest (pd = .78;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rsidRPr="004D292B">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rsidRPr="004D292B">
        <w:t xml:space="preserve"> = 2.14, 89% </w:t>
      </w:r>
      <w:proofErr w:type="spellStart"/>
      <w:r w:rsidRPr="004D292B">
        <w:t>CrI</w:t>
      </w:r>
      <w:proofErr w:type="spellEnd"/>
      <w:r w:rsidRPr="004D292B">
        <w:t xml:space="preserve"> [1.86, 2.45])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rsidRPr="004D292B">
        <w:t xml:space="preserve"> = 0.71, 89% </w:t>
      </w:r>
      <w:proofErr w:type="spellStart"/>
      <w:r w:rsidRPr="004D292B">
        <w:t>CrI</w:t>
      </w:r>
      <w:proofErr w:type="spellEnd"/>
      <w:r w:rsidRPr="004D292B">
        <w:t xml:space="preserve"> [0.06, 1.54]). Residual variability was </w:t>
      </w:r>
      <m:oMath>
        <m:r>
          <w:rPr>
            <w:rFonts w:ascii="Cambria Math" w:hAnsi="Cambria Math"/>
          </w:rPr>
          <m:t>σ</m:t>
        </m:r>
      </m:oMath>
      <w:r w:rsidRPr="004D292B">
        <w:t xml:space="preserve"> = 1.96 dB (89% </w:t>
      </w:r>
      <w:proofErr w:type="spellStart"/>
      <w:r w:rsidRPr="004D292B">
        <w:t>CrI</w:t>
      </w:r>
      <w:proofErr w:type="spellEnd"/>
      <w:r w:rsidRPr="004D292B">
        <w:t xml:space="preserve"> [1.79, 2.16]).</w:t>
      </w:r>
    </w:p>
    <w:p w14:paraId="05E7BCEA" w14:textId="7424B882" w:rsidR="002B6180" w:rsidRPr="004D292B" w:rsidRDefault="00000000">
      <w:pPr>
        <w:pStyle w:val="BodyText"/>
      </w:pPr>
      <w:r w:rsidRPr="004D292B">
        <w:rPr>
          <w:b/>
          <w:bCs/>
        </w:rPr>
        <w:t>Summary.</w:t>
      </w:r>
      <w:r w:rsidRPr="004D292B">
        <w:t xml:space="preserve"> Exam-related stress produced dissociable changes in vocal production. Fundamental frequency increased markedly under stress, reflecting heightened autonomic arousal </w:t>
      </w:r>
      <w:r w:rsidRPr="004D292B">
        <w:lastRenderedPageBreak/>
        <w:t>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underscore the consistency of these vocal signatures of stress. In contrast, recovery effects showed weaker directional evidence for both parameters.</w:t>
      </w:r>
    </w:p>
    <w:p w14:paraId="2647022D" w14:textId="77777777" w:rsidR="002B6180" w:rsidRPr="004D292B" w:rsidRDefault="00000000">
      <w:pPr>
        <w:pStyle w:val="Heading2"/>
      </w:pPr>
      <w:bookmarkStart w:id="12" w:name="Xb164bac5e943b641e774e18bac4cb850fb38e56"/>
      <w:bookmarkEnd w:id="11"/>
      <w:r w:rsidRPr="004D292B">
        <w:t>Personality Moderation of Vocal Stress Responses</w:t>
      </w:r>
    </w:p>
    <w:p w14:paraId="0D2B2F6C" w14:textId="77777777" w:rsidR="002B6180" w:rsidRPr="004D292B" w:rsidRDefault="00000000">
      <w:pPr>
        <w:pStyle w:val="FirstParagraph"/>
      </w:pPr>
      <w:r w:rsidRPr="004D292B">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4CC7091E" w14:textId="1E29E696" w:rsidR="002B6180" w:rsidRPr="004D292B" w:rsidRDefault="00000000">
      <w:pPr>
        <w:pStyle w:val="BodyText"/>
      </w:pPr>
      <w:r w:rsidRPr="004D292B">
        <w:rPr>
          <w:b/>
          <w:bCs/>
        </w:rPr>
        <w:t>Arousal-related pitch responses (F0).</w:t>
      </w:r>
      <w:r w:rsidRPr="004D292B">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 strong directional evidence: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4D292B">
        <w:t xml:space="preserve"> = 3.14 Hz per SD, 89% </w:t>
      </w:r>
      <w:proofErr w:type="spellStart"/>
      <w:r w:rsidRPr="004D292B">
        <w:t>CrI</w:t>
      </w:r>
      <w:proofErr w:type="spellEnd"/>
      <w:r w:rsidRPr="004D292B">
        <w:t xml:space="preserve"> [0.45, 5.84], pd = 0.97). This effect indicates that individuals higher in emotional reactivity and stress sensitivity (Negative Affect) exhibited stronger vocal arousal responses during anticipatory stress. Other stress-phase moderation effects showed weak </w:t>
      </w:r>
      <w:r w:rsidRPr="004D292B">
        <w:lastRenderedPageBreak/>
        <w:t>directional evidence. Detachment and Disinhibition exhibited weak stress-phase moderation (pd= 0.58 and 0.54,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−2.04 Hz, pd = 0.88), whereas Disinhibition showed weak directional evidence (pd = 0.54).</w:t>
      </w:r>
    </w:p>
    <w:p w14:paraId="0AB5974C" w14:textId="6932558E" w:rsidR="002B6180" w:rsidRPr="004D292B" w:rsidRDefault="00000000">
      <w:pPr>
        <w:pStyle w:val="BodyText"/>
      </w:pPr>
      <w:r w:rsidRPr="004D292B">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3.16 Hz per SD, 89% </w:t>
      </w:r>
      <w:proofErr w:type="spellStart"/>
      <w:r w:rsidRPr="004D292B">
        <w:t>CrI</w:t>
      </w:r>
      <w:proofErr w:type="spellEnd"/>
      <w:r w:rsidRPr="004D292B">
        <w:t xml:space="preserve"> [0.61, 5.76], pd = 0.98),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7379F874" w14:textId="65B9F641" w:rsidR="002B6180" w:rsidRPr="004D292B" w:rsidRDefault="00000000">
      <w:pPr>
        <w:pStyle w:val="BodyText"/>
      </w:pPr>
      <w:r w:rsidRPr="004D292B">
        <w:rPr>
          <w:b/>
          <w:bCs/>
        </w:rPr>
        <w:t>Voice Quality Moderation (NNE).</w:t>
      </w:r>
      <w:r w:rsidRPr="004D292B">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4D292B">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0.88 dB, 89% </w:t>
      </w:r>
      <w:proofErr w:type="spellStart"/>
      <w:r w:rsidRPr="004D292B">
        <w:t>CrI</w:t>
      </w:r>
      <w:proofErr w:type="spellEnd"/>
      <w:r w:rsidRPr="004D292B">
        <w:t xml:space="preserve"> [0.07, 1.68], pd = 0.96).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-0.43 dB, 89% </w:t>
      </w:r>
      <w:proofErr w:type="spellStart"/>
      <w:r w:rsidRPr="004D292B">
        <w:t>CrI</w:t>
      </w:r>
      <w:proofErr w:type="spellEnd"/>
      <w:r w:rsidRPr="004D292B">
        <w:t xml:space="preserve"> [−1.18, 0.33], pd = 0.82). Other domains showed weak NNE modulation (Table 2).</w:t>
      </w:r>
    </w:p>
    <w:p w14:paraId="293D5CAC" w14:textId="2A28FCCC" w:rsidR="002B6180" w:rsidRPr="004D292B" w:rsidRDefault="00000000">
      <w:pPr>
        <w:pStyle w:val="BodyText"/>
      </w:pPr>
      <w:r w:rsidRPr="004D292B">
        <w:rPr>
          <w:b/>
          <w:bCs/>
        </w:rPr>
        <w:t>Summary.</w:t>
      </w:r>
      <w:r w:rsidRPr="004D292B">
        <w:t xml:space="preserve"> The selective moderation patterns reveal striking domain-specificity in personality influences on vocal stress responses. Whereas Negative Affectivity shaped arousal-related pitch responses during stress anticipation, voice quality (NNE) showed a completely distinct pattern: only Psychoticism modulated NNE, and exclusively during the recovery phase </w:t>
      </w:r>
      <w:r w:rsidRPr="004D292B">
        <w:lastRenderedPageBreak/>
        <w:t>(</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4D292B">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791ACB1" w14:textId="5DA2F461" w:rsidR="002B6180" w:rsidRPr="004D292B" w:rsidRDefault="00000000" w:rsidP="00C85F6B">
      <w:pPr>
        <w:pStyle w:val="NormalWeb"/>
        <w:spacing w:line="480" w:lineRule="auto"/>
        <w:ind w:firstLine="680"/>
        <w:rPr>
          <w:lang w:val="en-US"/>
        </w:rPr>
      </w:pPr>
      <w:bookmarkStart w:id="13" w:name="X4b062a7190cf71819856f464c6e05d35dc8fe0c"/>
      <w:bookmarkEnd w:id="12"/>
      <w:r w:rsidRPr="004D292B">
        <w:rPr>
          <w:b/>
          <w:bCs/>
          <w:lang w:val="en-GB"/>
        </w:rPr>
        <w:t xml:space="preserve">Robustness check: connected-speech spectral features. </w:t>
      </w:r>
      <w:r w:rsidRPr="004D292B">
        <w:rPr>
          <w:lang w:val="en-GB"/>
        </w:rPr>
        <w:t>To test whether the stress signal extends beyond the controlled vowel task, we modeled the 13 mel-frequency cepstral coefficient (MFCC) means from the standardized connected-speech sample in a multivariate hierarchical model with the same stress and recovery contrasts (see Supplement,</w:t>
      </w:r>
      <w:r w:rsidR="00BF6AA8" w:rsidRPr="004D292B">
        <w:rPr>
          <w:lang w:val="en-GB"/>
        </w:rPr>
        <w:t xml:space="preserve"> Section 5.1</w:t>
      </w:r>
      <w:r w:rsidRPr="004D292B">
        <w:rPr>
          <w:lang w:val="en-GB"/>
        </w:rPr>
        <w:t>). The profile shifted modestly during anticipatory stress (two omnibus tests, p ≈ .02–.05), with the largest coefficient-level posterior summaries for MFCC2, MFCC4, and, more weakly, MFCC3. The recovery contrast did not show a comparable multivariate shift. As with the sustained vowels, this signal was weaker and more diffusely distributed than the F0 and NNE effects—illustrating a trade-off between signal quality and ecological validity—so we retain sustained-vowel F0 and NNE as the primary outcomes.</w:t>
      </w:r>
    </w:p>
    <w:p w14:paraId="0A9AF6F8" w14:textId="77777777" w:rsidR="002B6180" w:rsidRPr="004D292B" w:rsidRDefault="00000000" w:rsidP="00C827AE">
      <w:pPr>
        <w:pStyle w:val="Heading2"/>
        <w:jc w:val="center"/>
      </w:pPr>
      <w:bookmarkStart w:id="14" w:name="discussion"/>
      <w:bookmarkEnd w:id="13"/>
      <w:r w:rsidRPr="004D292B">
        <w:lastRenderedPageBreak/>
        <w:t>Discussion</w:t>
      </w:r>
    </w:p>
    <w:p w14:paraId="76013473" w14:textId="0176E825" w:rsidR="0084386D" w:rsidRPr="004D292B" w:rsidRDefault="0084386D" w:rsidP="0084386D">
      <w:pPr>
        <w:pStyle w:val="Heading3"/>
        <w:framePr w:wrap="auto" w:vAnchor="margin" w:yAlign="inline"/>
        <w:spacing w:line="480" w:lineRule="auto"/>
        <w:rPr>
          <w:b w:val="0"/>
          <w:bCs w:val="0"/>
        </w:rPr>
      </w:pPr>
      <w:r w:rsidRPr="004D292B">
        <w:rPr>
          <w:b w:val="0"/>
          <w:bCs w:val="0"/>
        </w:rPr>
        <w:t>Across an ecologically valid academic stressor, we observed directionally well-supported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27460E00" w14:textId="77777777" w:rsidR="00C827AE" w:rsidRPr="004D292B" w:rsidRDefault="00C827AE" w:rsidP="0053127B">
      <w:pPr>
        <w:pStyle w:val="Heading3"/>
        <w:framePr w:wrap="auto" w:vAnchor="margin" w:yAlign="inline"/>
        <w:spacing w:line="480" w:lineRule="auto"/>
        <w:ind w:firstLine="0"/>
      </w:pPr>
      <w:r w:rsidRPr="004D292B">
        <w:t>Vocal acoustics as physiology-linked indicators of situational stress</w:t>
      </w:r>
    </w:p>
    <w:p w14:paraId="4593D0F8" w14:textId="77777777" w:rsidR="0084386D" w:rsidRPr="004D292B" w:rsidRDefault="0084386D" w:rsidP="0084386D">
      <w:pPr>
        <w:ind w:firstLine="680"/>
      </w:pPr>
      <w:r w:rsidRPr="004D292B">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52C4920F" w14:textId="49B4723D" w:rsidR="002B6180" w:rsidRPr="004D292B" w:rsidRDefault="00000000" w:rsidP="007402A5">
      <w:pPr>
        <w:pStyle w:val="BodyText"/>
      </w:pPr>
      <w:bookmarkStart w:id="15" w:name="X23153e9908c4187b70a1c6f150a54c45c64ab58"/>
      <w:r w:rsidRPr="004D292B">
        <w:t xml:space="preserve">In contrast to a simple “vocal degradation” account, NNE decreased by 0.65 dB during stress, indicating a more periodic, less noisy signal. </w:t>
      </w:r>
      <w:r w:rsidRPr="004D292B">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rsidRPr="004D292B">
        <w:t>components of the response.</w:t>
      </w:r>
    </w:p>
    <w:p w14:paraId="5A242CBA" w14:textId="77777777" w:rsidR="00A65D75" w:rsidRPr="004D292B" w:rsidRDefault="00A65D75" w:rsidP="00A65D75">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lastRenderedPageBreak/>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38D4CF43" w14:textId="7B3DCA70" w:rsidR="00D4503B" w:rsidRPr="004D292B" w:rsidRDefault="00D4503B" w:rsidP="00D4503B">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t>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moderating recovery. This convergence across self-reported affect and physiology-linked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pointing to stable individual differences in recovery rather than a uniform, situationally driven response.</w:t>
      </w:r>
    </w:p>
    <w:p w14:paraId="57200233" w14:textId="77777777" w:rsidR="00C827AE" w:rsidRPr="004D292B" w:rsidRDefault="00C827AE" w:rsidP="00D4503B">
      <w:pPr>
        <w:spacing w:before="100" w:beforeAutospacing="1" w:after="100" w:afterAutospacing="1"/>
        <w:rPr>
          <w:rFonts w:eastAsia="Times New Roman" w:cs="Times New Roman"/>
          <w:b/>
          <w:bCs/>
          <w:lang w:eastAsia="it-IT"/>
        </w:rPr>
      </w:pPr>
      <w:r w:rsidRPr="004D292B">
        <w:rPr>
          <w:b/>
          <w:bCs/>
        </w:rPr>
        <w:t>Domain- and phase-specific moderation of vocal stress responses</w:t>
      </w:r>
    </w:p>
    <w:p w14:paraId="02013599" w14:textId="0C8C18FC" w:rsidR="00C92542" w:rsidRPr="004D292B" w:rsidRDefault="00C92542" w:rsidP="006254AC">
      <w:pPr>
        <w:spacing w:before="100" w:beforeAutospacing="1" w:after="100" w:afterAutospacing="1"/>
        <w:ind w:firstLine="680"/>
        <w:rPr>
          <w:rFonts w:eastAsia="Times New Roman" w:cs="Times New Roman"/>
          <w:lang w:eastAsia="it-IT"/>
        </w:rPr>
      </w:pPr>
      <w:bookmarkStart w:id="16" w:name="X1fa8ff55924d531ef75d279f0def8f39c379b57"/>
      <w:bookmarkEnd w:id="15"/>
      <w:r w:rsidRPr="004D292B">
        <w:rPr>
          <w:rFonts w:eastAsia="Times New Roman" w:cs="Times New Roman"/>
          <w:lang w:eastAsia="it-IT"/>
        </w:rPr>
        <w:t xml:space="preserve">Although no prior work had examined PID-5 moderation of vocal stress markers, our predictions were theory-derived rather than exploratory: a directional expectation for Negative Affectivity and weaker or two-sided expectations for the other domains (see Introduction). Because the study was not preregistered and these expectations were evaluated on the same data, </w:t>
      </w:r>
      <w:r w:rsidRPr="004D292B">
        <w:rPr>
          <w:rFonts w:eastAsia="Times New Roman" w:cs="Times New Roman"/>
          <w:lang w:eastAsia="it-IT"/>
        </w:rPr>
        <w:lastRenderedPageBreak/>
        <w:t>we interpret the estimates as tentative and in need of replication. The resulting pattern indicates that personality pathology domains do not exert broad, uniform effects but instead moderate specific acoustic parameters at specific phases of the stress-response cycle.</w:t>
      </w:r>
    </w:p>
    <w:p w14:paraId="0371E49C" w14:textId="77777777" w:rsidR="00F67F74" w:rsidRPr="004D292B" w:rsidRDefault="00C827AE" w:rsidP="006254AC">
      <w:pPr>
        <w:pStyle w:val="Heading4"/>
        <w:framePr w:wrap="auto" w:vAnchor="margin" w:yAlign="inline"/>
        <w:spacing w:line="480" w:lineRule="auto"/>
      </w:pPr>
      <w:r w:rsidRPr="004D292B">
        <w:t>Negative Affectivity: amplified acute arousal reactivity</w:t>
      </w:r>
      <w:bookmarkStart w:id="17" w:name="X3ef84ce2e553031ca611ace5c701b62ae6a9aca"/>
      <w:r w:rsidRPr="004D292B">
        <w:t xml:space="preserve">. </w:t>
      </w:r>
    </w:p>
    <w:p w14:paraId="435BE6BA" w14:textId="75A73D68" w:rsidR="002B6180" w:rsidRPr="004D292B" w:rsidRDefault="00D11693" w:rsidP="006254AC">
      <w:pPr>
        <w:pStyle w:val="Heading4"/>
        <w:framePr w:wrap="auto" w:vAnchor="margin" w:yAlign="inline"/>
        <w:spacing w:line="480" w:lineRule="auto"/>
        <w:rPr>
          <w:b w:val="0"/>
          <w:bCs/>
          <w:i w:val="0"/>
          <w:iCs/>
        </w:rPr>
      </w:pPr>
      <w:r w:rsidRPr="004D292B">
        <w:rPr>
          <w:rFonts w:eastAsia="Times New Roman" w:cs="Times New Roman"/>
          <w:b w:val="0"/>
          <w:bCs/>
          <w:i w:val="0"/>
          <w:iCs/>
          <w:lang w:eastAsia="it-IT"/>
        </w:rPr>
        <w:t>As predicted, Negative Affectivity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37AF44EF" w14:textId="77777777" w:rsidR="00C827AE" w:rsidRPr="004D292B" w:rsidRDefault="00C827AE" w:rsidP="006254AC">
      <w:pPr>
        <w:pStyle w:val="Heading4"/>
        <w:framePr w:wrap="auto" w:vAnchor="margin" w:yAlign="inline"/>
        <w:spacing w:line="480" w:lineRule="auto"/>
      </w:pPr>
      <w:r w:rsidRPr="004D292B">
        <w:t>Antagonism: evidence for heterogeneous post-stressor trajectories</w:t>
      </w:r>
    </w:p>
    <w:p w14:paraId="59F44F14" w14:textId="77777777" w:rsidR="00015BBB" w:rsidRPr="004D292B" w:rsidRDefault="00015BBB" w:rsidP="00DC5247">
      <w:pPr>
        <w:pStyle w:val="BodyText"/>
      </w:pPr>
      <w:r w:rsidRPr="004D292B">
        <w:rPr>
          <w:rFonts w:eastAsia="Times New Roman" w:cs="Times New Roman"/>
          <w:lang w:eastAsia="it-IT"/>
        </w:rPr>
        <w:t>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0C8A8C55" w14:textId="77777777" w:rsidR="00C827AE" w:rsidRPr="004D292B" w:rsidRDefault="00C827AE" w:rsidP="00DA4E4A">
      <w:pPr>
        <w:pStyle w:val="Heading4"/>
        <w:framePr w:wrap="auto" w:vAnchor="margin" w:yAlign="inline"/>
        <w:spacing w:line="480" w:lineRule="auto"/>
      </w:pPr>
      <w:bookmarkStart w:id="18" w:name="Xc5f2e79781ad72bd9222abef79a4de129254a88"/>
      <w:bookmarkEnd w:id="17"/>
      <w:r w:rsidRPr="004D292B">
        <w:lastRenderedPageBreak/>
        <w:t>Psychoticism: selective modulation of voice quality during recovery</w:t>
      </w:r>
    </w:p>
    <w:p w14:paraId="3A365918" w14:textId="77777777" w:rsidR="00A07698" w:rsidRPr="004D292B" w:rsidRDefault="00A07698" w:rsidP="00A07698">
      <w:pPr>
        <w:pStyle w:val="BodyText"/>
      </w:pPr>
      <w:r w:rsidRPr="004D292B">
        <w:rPr>
          <w:rFonts w:eastAsia="Times New Roman" w:cs="Times New Roman"/>
          <w:lang w:eastAsia="it-IT"/>
        </w:rPr>
        <w:t>Psychoticism showed minimal F0 moderation, aligning with mixed prior evidence on physiological stress reactivity in schizotypy-related traits (</w:t>
      </w:r>
      <w:r w:rsidRPr="004D292B">
        <w:t>Myin-Germeys &amp; van Os, 2007; Walter et al., 2018</w:t>
      </w:r>
      <w:r w:rsidRPr="004D292B">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5204BABF" w14:textId="77777777" w:rsidR="00C827AE" w:rsidRPr="004D292B" w:rsidRDefault="00C827AE" w:rsidP="00DA4E4A">
      <w:pPr>
        <w:pStyle w:val="Heading4"/>
        <w:framePr w:wrap="auto" w:vAnchor="margin" w:yAlign="inline"/>
        <w:spacing w:line="480" w:lineRule="auto"/>
      </w:pPr>
      <w:bookmarkStart w:id="19" w:name="Xbbb3b6018f8c7cf14515e1185c42749db451109"/>
      <w:bookmarkEnd w:id="18"/>
      <w:r w:rsidRPr="004D292B">
        <w:t>Detachment and Disinhibition: limited evidence for moderation</w:t>
      </w:r>
    </w:p>
    <w:p w14:paraId="1A7D00BD" w14:textId="77777777" w:rsidR="00B4738F" w:rsidRPr="004D292B" w:rsidRDefault="00B4738F" w:rsidP="00B4738F">
      <w:pPr>
        <w:pStyle w:val="BodyText"/>
      </w:pPr>
      <w:r w:rsidRPr="004D292B">
        <w:rPr>
          <w:rFonts w:eastAsia="Times New Roman" w:cs="Times New Roman"/>
          <w:lang w:eastAsia="it-IT"/>
        </w:rPr>
        <w:t>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489213D9" w14:textId="77777777" w:rsidR="00B4738F" w:rsidRPr="004D292B" w:rsidRDefault="00B4738F" w:rsidP="00B4738F">
      <w:pPr>
        <w:spacing w:before="100" w:beforeAutospacing="1" w:after="100" w:afterAutospacing="1"/>
        <w:ind w:firstLine="680"/>
        <w:rPr>
          <w:rFonts w:eastAsia="Times New Roman" w:cs="Times New Roman"/>
          <w:lang w:eastAsia="it-IT"/>
        </w:rPr>
      </w:pPr>
      <w:bookmarkStart w:id="20" w:name="Xf93faba72ec9a3390c307e6af7d1d009e518683"/>
      <w:bookmarkEnd w:id="19"/>
      <w:r w:rsidRPr="004D292B">
        <w:rPr>
          <w:rFonts w:eastAsia="Times New Roman" w:cs="Times New Roman"/>
          <w:lang w:eastAsia="it-IT"/>
        </w:rPr>
        <w:lastRenderedPageBreak/>
        <w:t>Disinhibition showed</w:t>
      </w:r>
      <w:r w:rsidRPr="004D292B">
        <w:t xml:space="preserve"> weak moderation of either parameter (all pd &lt; 0.75). This pattern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271046B9" w14:textId="77777777" w:rsidR="00C827AE" w:rsidRPr="004D292B" w:rsidRDefault="00C827AE" w:rsidP="001D000F">
      <w:pPr>
        <w:pStyle w:val="BodyText"/>
        <w:ind w:firstLine="0"/>
        <w:rPr>
          <w:b/>
          <w:bCs/>
        </w:rPr>
      </w:pPr>
      <w:r w:rsidRPr="004D292B">
        <w:rPr>
          <w:b/>
          <w:bCs/>
        </w:rPr>
        <w:t>Implications for transactional models of personality pathology</w:t>
      </w:r>
    </w:p>
    <w:p w14:paraId="3675E759" w14:textId="77777777" w:rsidR="00215744" w:rsidRPr="004D292B" w:rsidRDefault="00215744" w:rsidP="00215744">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w:t>
      </w:r>
      <w:r w:rsidRPr="004D292B">
        <w:rPr>
          <w:rFonts w:eastAsia="Times New Roman" w:cs="Times New Roman"/>
          <w:lang w:eastAsia="it-IT"/>
        </w:rPr>
        <w:lastRenderedPageBreak/>
        <w:t>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64390763" w14:textId="77777777" w:rsidR="00215744" w:rsidRPr="004D292B" w:rsidRDefault="00215744" w:rsidP="00215744">
      <w:pPr>
        <w:spacing w:before="100" w:beforeAutospacing="1" w:after="100" w:afterAutospacing="1"/>
        <w:ind w:firstLine="680"/>
        <w:rPr>
          <w:rFonts w:eastAsia="Times New Roman" w:cs="Times New Roman"/>
          <w:lang w:eastAsia="it-IT"/>
        </w:rPr>
      </w:pPr>
      <w:r w:rsidRPr="004D292B">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18F12B4A" w14:textId="58711398" w:rsidR="002A047E" w:rsidRPr="004D292B" w:rsidRDefault="002A047E" w:rsidP="002A047E">
      <w:pPr>
        <w:ind w:firstLine="720"/>
        <w:rPr>
          <w:rFonts w:eastAsia="Times New Roman" w:cs="Times New Roman"/>
          <w:lang w:eastAsia="it-IT"/>
        </w:rPr>
      </w:pPr>
      <w:bookmarkStart w:id="21" w:name="X714fc978ee672846c24c61f892659f480d3aaf7"/>
      <w:bookmarkEnd w:id="16"/>
      <w:bookmarkEnd w:id="20"/>
      <w:r w:rsidRPr="004D292B">
        <w:rPr>
          <w:rFonts w:eastAsia="Times New Roman" w:cs="Times New Roman"/>
          <w:lang w:eastAsia="it-IT"/>
        </w:rPr>
        <w:t xml:space="preserve">The comparison of EMA-derived and baseline PID-5 assessments is best read as a test of whether the moderation effects replicate across measurement strategies rather than as evidence that intensive assessment is more valid or efficient: for the focal effect the two approaches agreed in direction, and the narrower EMA intervals largely reflect the removal of occasion-specific variance rather than a substantive advantage (Wright et al., 2025). </w:t>
      </w:r>
      <w:r w:rsidR="00513A45" w:rsidRPr="004D292B">
        <w:rPr>
          <w:rFonts w:eastAsia="Times New Roman" w:cs="Times New Roman"/>
          <w:lang w:eastAsia="it-IT"/>
        </w:rPr>
        <w:t>This replication analysis, along with its implications for variance decomposition and shared-method considerations, is presented in Section 5.4 of the Supplement</w:t>
      </w:r>
      <w:r w:rsidRPr="004D292B">
        <w:rPr>
          <w:rFonts w:eastAsia="Times New Roman" w:cs="Times New Roman"/>
          <w:lang w:eastAsia="it-IT"/>
        </w:rPr>
        <w:t>.</w:t>
      </w:r>
      <w:r w:rsidR="0050434F" w:rsidRPr="004D292B">
        <w:rPr>
          <w:rFonts w:eastAsia="Times New Roman" w:cs="Times New Roman"/>
          <w:lang w:eastAsia="it-IT"/>
        </w:rPr>
        <w:t xml:space="preserve"> </w:t>
      </w:r>
      <w:r w:rsidR="0050434F" w:rsidRPr="004D292B">
        <w:t xml:space="preserve">Conceptually, this comparison addresses the state–trait distinction in intensive assessment, because repeated EMA responses contain both stable between-person variance and occasion-specific fluctuations (Molenaar, 2004; </w:t>
      </w:r>
      <w:proofErr w:type="spellStart"/>
      <w:r w:rsidR="0050434F" w:rsidRPr="004D292B">
        <w:t>Schimmack</w:t>
      </w:r>
      <w:proofErr w:type="spellEnd"/>
      <w:r w:rsidR="0050434F" w:rsidRPr="004D292B">
        <w:t>, 2003; Wright et al., 2025).</w:t>
      </w:r>
    </w:p>
    <w:p w14:paraId="77166E00" w14:textId="77777777" w:rsidR="00C827AE" w:rsidRPr="004D292B" w:rsidRDefault="00C827AE" w:rsidP="00DA4E4A">
      <w:pPr>
        <w:pStyle w:val="Heading3"/>
        <w:framePr w:wrap="auto" w:vAnchor="margin" w:yAlign="inline"/>
        <w:spacing w:line="480" w:lineRule="auto"/>
        <w:ind w:firstLine="0"/>
      </w:pPr>
      <w:bookmarkStart w:id="22" w:name="X66030c2fc693eac000e95f9b4533afec6469aef"/>
      <w:bookmarkEnd w:id="21"/>
      <w:r w:rsidRPr="004D292B">
        <w:lastRenderedPageBreak/>
        <w:t>Limitations and future directions</w:t>
      </w:r>
    </w:p>
    <w:p w14:paraId="3286F814" w14:textId="77777777" w:rsidR="002E7141" w:rsidRPr="004D292B" w:rsidRDefault="002E7141" w:rsidP="002E7141">
      <w:pPr>
        <w:spacing w:before="100" w:beforeAutospacing="1" w:after="100" w:afterAutospacing="1"/>
        <w:ind w:firstLine="720"/>
        <w:rPr>
          <w:rFonts w:eastAsia="Times New Roman" w:cs="Times New Roman"/>
          <w:lang w:eastAsia="it-IT"/>
        </w:rPr>
      </w:pPr>
      <w:bookmarkStart w:id="23" w:name="limitations-and-future-directions"/>
      <w:bookmarkEnd w:id="22"/>
      <w:r w:rsidRPr="004D292B">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sidRPr="004D292B">
        <w:t xml:space="preserve"> men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EE7D753" w14:textId="77777777" w:rsidR="00FD3D66" w:rsidRPr="004D292B" w:rsidRDefault="00000000">
      <w:pPr>
        <w:pStyle w:val="Heading3"/>
        <w:framePr w:wrap="around"/>
        <w:spacing w:line="480" w:lineRule="auto"/>
        <w:ind w:firstLine="0"/>
      </w:pPr>
      <w:r w:rsidRPr="004D292B">
        <w:t>Conclusion</w:t>
      </w:r>
    </w:p>
    <w:p w14:paraId="1F3C96F9" w14:textId="77777777" w:rsidR="00381224" w:rsidRPr="004D292B" w:rsidRDefault="00381224">
      <w:pPr>
        <w:pStyle w:val="BodyText"/>
      </w:pPr>
    </w:p>
    <w:p w14:paraId="72787FAF" w14:textId="77777777" w:rsidR="00FD3D66" w:rsidRPr="004D292B" w:rsidRDefault="00000000">
      <w:pPr>
        <w:pStyle w:val="BodyText"/>
      </w:pPr>
      <w:r w:rsidRPr="004D292B">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r>
      <w:r w:rsidRPr="004D292B">
        <w:lastRenderedPageBreak/>
        <w:t>physiology-linked vocal markers with intensive self-report can advance a dynamic, situated account of personality pathology, while underscoring the need for replication in clinical samples and with denser temporal sampling.</w:t>
      </w:r>
    </w:p>
    <w:p w14:paraId="13C74361" w14:textId="77777777" w:rsidR="002B6180" w:rsidRPr="004D292B" w:rsidRDefault="00000000">
      <w:r w:rsidRPr="004D292B">
        <w:br w:type="page"/>
      </w:r>
    </w:p>
    <w:p w14:paraId="5E709BCE" w14:textId="77777777" w:rsidR="002B6180" w:rsidRPr="004D292B" w:rsidRDefault="00000000">
      <w:pPr>
        <w:pStyle w:val="Heading1"/>
      </w:pPr>
      <w:bookmarkStart w:id="24" w:name="references"/>
      <w:bookmarkEnd w:id="10"/>
      <w:bookmarkEnd w:id="14"/>
      <w:bookmarkEnd w:id="23"/>
      <w:r w:rsidRPr="004D292B">
        <w:lastRenderedPageBreak/>
        <w:t>References</w:t>
      </w:r>
    </w:p>
    <w:p w14:paraId="21161730" w14:textId="77777777" w:rsidR="002B6180" w:rsidRPr="004D292B" w:rsidRDefault="00000000">
      <w:pPr>
        <w:pStyle w:val="Bibliography"/>
      </w:pPr>
      <w:bookmarkStart w:id="25" w:name="ref-APA2014_PersonalityInventory"/>
      <w:bookmarkStart w:id="26" w:name="refs"/>
      <w:r w:rsidRPr="004D292B">
        <w:t xml:space="preserve">American Psychiatric Association. (2014). </w:t>
      </w:r>
      <w:r w:rsidRPr="004D292B">
        <w:rPr>
          <w:i/>
          <w:iCs/>
        </w:rPr>
        <w:t>Online assessment measures: The personality inventory for DSM-5 (adult)</w:t>
      </w:r>
      <w:r w:rsidRPr="004D292B">
        <w:t xml:space="preserve">. </w:t>
      </w:r>
      <w:hyperlink r:id="rId10">
        <w:r w:rsidR="002B6180" w:rsidRPr="004D292B">
          <w:rPr>
            <w:rStyle w:val="Hyperlink"/>
            <w:color w:val="auto"/>
          </w:rPr>
          <w:t>https://www.psychiatry.org/getmedia/594673a6-1b9b-4298-8b52-c4c652c4a4e2/APA-DSM5TR-ThePersonalityInventoryForDSM5FullVersionAdult.pdf</w:t>
        </w:r>
      </w:hyperlink>
      <w:r w:rsidRPr="004D292B">
        <w:t>.</w:t>
      </w:r>
    </w:p>
    <w:p w14:paraId="67844EBF" w14:textId="77777777" w:rsidR="002B6180" w:rsidRPr="004D292B" w:rsidRDefault="00000000">
      <w:pPr>
        <w:pStyle w:val="Bibliography"/>
      </w:pPr>
      <w:bookmarkStart w:id="27" w:name="ref-barta2012measurement"/>
      <w:bookmarkEnd w:id="25"/>
      <w:r w:rsidRPr="004D292B">
        <w:rPr>
          <w:lang w:val="it-IT"/>
        </w:rPr>
        <w:t xml:space="preserve">Barta, W. D., Tennen, H., &amp; Litt, M. D. (2012). </w:t>
      </w:r>
      <w:r w:rsidRPr="004D292B">
        <w:rPr>
          <w:i/>
          <w:iCs/>
        </w:rPr>
        <w:t>Measurement reactivity in diary research.</w:t>
      </w:r>
    </w:p>
    <w:p w14:paraId="59CDEC12" w14:textId="77777777" w:rsidR="002B6180" w:rsidRPr="004D292B" w:rsidRDefault="00000000">
      <w:pPr>
        <w:pStyle w:val="Bibliography"/>
      </w:pPr>
      <w:bookmarkStart w:id="28" w:name="ref-bibbey2013personality"/>
      <w:bookmarkEnd w:id="27"/>
      <w:r w:rsidRPr="004D292B">
        <w:t xml:space="preserve">Bibbey, A., Carroll, D., Roseboom, T. J., Phillips, A. C., &amp; Rooij, S. R. de. (2013). Personality and physiological reactions to acute psychological stress. </w:t>
      </w:r>
      <w:r w:rsidRPr="004D292B">
        <w:rPr>
          <w:i/>
          <w:iCs/>
        </w:rPr>
        <w:t>International Journal of Psychophysiology</w:t>
      </w:r>
      <w:r w:rsidRPr="004D292B">
        <w:t xml:space="preserve">, </w:t>
      </w:r>
      <w:r w:rsidRPr="004D292B">
        <w:rPr>
          <w:i/>
          <w:iCs/>
        </w:rPr>
        <w:t>90</w:t>
      </w:r>
      <w:r w:rsidRPr="004D292B">
        <w:t>(1), 28–36.</w:t>
      </w:r>
    </w:p>
    <w:p w14:paraId="4BE663F4" w14:textId="77777777" w:rsidR="002B6180" w:rsidRPr="004D292B" w:rsidRDefault="00000000">
      <w:pPr>
        <w:pStyle w:val="Bibliography"/>
      </w:pPr>
      <w:bookmarkStart w:id="29" w:name="ref-bolger1995framework"/>
      <w:bookmarkEnd w:id="28"/>
      <w:r w:rsidRPr="004D292B">
        <w:t xml:space="preserve">Bolger, N., &amp; Zuckerman, A. (1995). A framework for studying personality in the stress process. </w:t>
      </w:r>
      <w:r w:rsidRPr="004D292B">
        <w:rPr>
          <w:i/>
          <w:iCs/>
        </w:rPr>
        <w:t>Journal of Personality and Social Psychology</w:t>
      </w:r>
      <w:r w:rsidRPr="004D292B">
        <w:t xml:space="preserve">, </w:t>
      </w:r>
      <w:r w:rsidRPr="004D292B">
        <w:rPr>
          <w:i/>
          <w:iCs/>
        </w:rPr>
        <w:t>69</w:t>
      </w:r>
      <w:r w:rsidRPr="004D292B">
        <w:t>(5), 890–902.</w:t>
      </w:r>
    </w:p>
    <w:p w14:paraId="60955351" w14:textId="77777777" w:rsidR="002B6180" w:rsidRPr="004D292B" w:rsidRDefault="00000000">
      <w:pPr>
        <w:pStyle w:val="Bibliography"/>
      </w:pPr>
      <w:bookmarkStart w:id="30" w:name="ref-bottesi2024advancing"/>
      <w:bookmarkEnd w:id="29"/>
      <w:r w:rsidRPr="004D292B">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sidRPr="004D292B">
        <w:rPr>
          <w:i/>
          <w:iCs/>
        </w:rPr>
        <w:t>Personality Disorders: Theory, Research, and Treatment</w:t>
      </w:r>
      <w:r w:rsidRPr="004D292B">
        <w:t>.</w:t>
      </w:r>
    </w:p>
    <w:p w14:paraId="5BAA35CC" w14:textId="77777777" w:rsidR="002B6180" w:rsidRPr="004D292B" w:rsidRDefault="00000000">
      <w:pPr>
        <w:pStyle w:val="Bibliography"/>
      </w:pPr>
      <w:bookmarkStart w:id="31" w:name="ref-bottesi2024agreement"/>
      <w:bookmarkEnd w:id="30"/>
      <w:r w:rsidRPr="004D292B">
        <w:t xml:space="preserve">Bottesi, G., Caudek, C., Malerba, A., Caselli, G., Gallo, G., Melli, G., … Sica, C. (2024b). Agreement and discrepancies in patient–clinician reports of DSM-5-TR section III maladaptive personality traits: A study on a mixed outpatient sample. </w:t>
      </w:r>
      <w:r w:rsidRPr="004D292B">
        <w:rPr>
          <w:i/>
          <w:iCs/>
        </w:rPr>
        <w:t>Personality Disorders: Theory, Research, and Treatment</w:t>
      </w:r>
      <w:r w:rsidRPr="004D292B">
        <w:t xml:space="preserve">, </w:t>
      </w:r>
      <w:r w:rsidRPr="004D292B">
        <w:rPr>
          <w:i/>
          <w:iCs/>
        </w:rPr>
        <w:t>15</w:t>
      </w:r>
      <w:r w:rsidRPr="004D292B">
        <w:t>(1), 94.</w:t>
      </w:r>
    </w:p>
    <w:p w14:paraId="2BDEB81D" w14:textId="77777777" w:rsidR="002B6180" w:rsidRPr="004D292B" w:rsidRDefault="00000000">
      <w:pPr>
        <w:pStyle w:val="Bibliography"/>
      </w:pPr>
      <w:bookmarkStart w:id="32" w:name="ref-Cala2025"/>
      <w:bookmarkEnd w:id="31"/>
      <w:r w:rsidRPr="004D292B">
        <w:t xml:space="preserve">Calà, F., Colpizzi, I., Sica, C., Caudek, C., Lanatà, A., &amp; Frassineti, L. (2025). A preliminary analysis on longitudinal effects of exam stress and personality traits over acoustic </w:t>
      </w:r>
      <w:r w:rsidRPr="004D292B">
        <w:lastRenderedPageBreak/>
        <w:t xml:space="preserve">properties. </w:t>
      </w:r>
      <w:r w:rsidRPr="004D292B">
        <w:rPr>
          <w:i/>
          <w:iCs/>
        </w:rPr>
        <w:t>Models and Analysis of Vocal Emissions for Biomedical Applications: 15th International Workshop</w:t>
      </w:r>
      <w:r w:rsidRPr="004D292B">
        <w:t>, 145–148.</w:t>
      </w:r>
    </w:p>
    <w:p w14:paraId="1A4A04AF" w14:textId="77777777" w:rsidR="002B6180" w:rsidRPr="004D292B" w:rsidRDefault="00000000">
      <w:pPr>
        <w:pStyle w:val="Bibliography"/>
      </w:pPr>
      <w:bookmarkStart w:id="33" w:name="ref-colpizzi2025state"/>
      <w:bookmarkEnd w:id="32"/>
      <w:r w:rsidRPr="004D292B">
        <w:t xml:space="preserve">Colpizzi, I., Trull, T. J., Sica, C., Haney, A. M., &amp; Caudek, C. (2025). State self-compassion dynamics: Partial evidence for the bipolar continuum hypothesis. </w:t>
      </w:r>
      <w:r w:rsidRPr="004D292B">
        <w:rPr>
          <w:i/>
          <w:iCs/>
        </w:rPr>
        <w:t>Mindfulness</w:t>
      </w:r>
      <w:r w:rsidRPr="004D292B">
        <w:t>, 1–16.</w:t>
      </w:r>
    </w:p>
    <w:p w14:paraId="24A26061" w14:textId="77777777" w:rsidR="002B6180" w:rsidRPr="004D292B" w:rsidRDefault="00000000">
      <w:pPr>
        <w:pStyle w:val="Bibliography"/>
      </w:pPr>
      <w:bookmarkStart w:id="34" w:name="ref-Dietrich2012"/>
      <w:bookmarkEnd w:id="33"/>
      <w:r w:rsidRPr="004D292B">
        <w:t xml:space="preserve">Dietrich, M., &amp; Abbott, K. V. (2012). Vocal function in introverts and extraverts during a psychological stress reactivity protocol. </w:t>
      </w:r>
      <w:r w:rsidRPr="004D292B">
        <w:rPr>
          <w:i/>
          <w:iCs/>
        </w:rPr>
        <w:t>Journal of Speech, Language, and Hearing Research</w:t>
      </w:r>
      <w:r w:rsidRPr="004D292B">
        <w:t xml:space="preserve">, </w:t>
      </w:r>
      <w:r w:rsidRPr="004D292B">
        <w:rPr>
          <w:i/>
          <w:iCs/>
        </w:rPr>
        <w:t>55</w:t>
      </w:r>
      <w:r w:rsidRPr="004D292B">
        <w:t xml:space="preserve">(3), 973–987. </w:t>
      </w:r>
    </w:p>
    <w:p w14:paraId="04582290" w14:textId="77777777" w:rsidR="00B2233C" w:rsidRPr="004D292B" w:rsidRDefault="00B2233C" w:rsidP="00B2233C">
      <w:pPr>
        <w:pStyle w:val="Bibliography"/>
      </w:pPr>
      <w:r w:rsidRPr="004D292B">
        <w:t>Fleeson, W. (2001). Toward a structure-and process-integrated view of personality.</w:t>
      </w:r>
      <w:r w:rsidRPr="004D292B">
        <w:rPr>
          <w:i/>
          <w:iCs/>
        </w:rPr>
        <w:t xml:space="preserve"> Journal of Personality and Social Psychology, 80</w:t>
      </w:r>
      <w:r w:rsidRPr="004D292B">
        <w:t>(6), 1011.</w:t>
      </w:r>
    </w:p>
    <w:p w14:paraId="4432A011" w14:textId="77777777" w:rsidR="002B6180" w:rsidRPr="004D292B" w:rsidRDefault="00000000">
      <w:pPr>
        <w:pStyle w:val="Bibliography"/>
      </w:pPr>
      <w:bookmarkStart w:id="35" w:name="ref-gelfer2005relative"/>
      <w:bookmarkEnd w:id="34"/>
      <w:r w:rsidRPr="004D292B">
        <w:t xml:space="preserve">Gelfer, M. P., &amp; Mikos, V. A. (2005). The relative contributions of speaking fundamental frequency and formant frequencies to gender identification based on isolated vowels. </w:t>
      </w:r>
      <w:r w:rsidRPr="004D292B">
        <w:rPr>
          <w:i/>
          <w:iCs/>
        </w:rPr>
        <w:t>Journal of Voice</w:t>
      </w:r>
      <w:r w:rsidRPr="004D292B">
        <w:t xml:space="preserve">, </w:t>
      </w:r>
      <w:r w:rsidRPr="004D292B">
        <w:rPr>
          <w:i/>
          <w:iCs/>
        </w:rPr>
        <w:t>19</w:t>
      </w:r>
      <w:r w:rsidRPr="004D292B">
        <w:t>(4), 544–554.</w:t>
      </w:r>
    </w:p>
    <w:p w14:paraId="65337707" w14:textId="77777777" w:rsidR="002B6180" w:rsidRPr="004D292B" w:rsidRDefault="00000000">
      <w:pPr>
        <w:pStyle w:val="Bibliography"/>
      </w:pPr>
      <w:bookmarkStart w:id="36" w:name="ref-giddens2013vocal"/>
      <w:bookmarkEnd w:id="35"/>
      <w:r w:rsidRPr="004D292B">
        <w:t xml:space="preserve">Giddens, C. L., Barron, K. W., Byrd-Craven, J., Clark, K. F., &amp; Winter, A. S. (2013). Vocal indices of stress: A review. </w:t>
      </w:r>
      <w:r w:rsidRPr="004D292B">
        <w:rPr>
          <w:i/>
          <w:iCs/>
        </w:rPr>
        <w:t>Journal of Voice</w:t>
      </w:r>
      <w:r w:rsidRPr="004D292B">
        <w:t xml:space="preserve">, </w:t>
      </w:r>
      <w:r w:rsidRPr="004D292B">
        <w:rPr>
          <w:i/>
          <w:iCs/>
        </w:rPr>
        <w:t>27</w:t>
      </w:r>
      <w:r w:rsidRPr="004D292B">
        <w:t>(3), 390–e21.</w:t>
      </w:r>
    </w:p>
    <w:p w14:paraId="026A32FF" w14:textId="77777777" w:rsidR="002B6180" w:rsidRPr="004D292B" w:rsidRDefault="00000000">
      <w:pPr>
        <w:pStyle w:val="Bibliography"/>
      </w:pPr>
      <w:bookmarkStart w:id="37" w:name="ref-hopwood2022connecting"/>
      <w:bookmarkEnd w:id="36"/>
      <w:r w:rsidRPr="004D292B">
        <w:t xml:space="preserve">Hopwood, C. J., Bleidorn, W., &amp; Wright, A. G. (2022). Connecting theory to methods in longitudinal research. </w:t>
      </w:r>
      <w:r w:rsidRPr="004D292B">
        <w:rPr>
          <w:i/>
          <w:iCs/>
        </w:rPr>
        <w:t>Perspectives on Psychological Science</w:t>
      </w:r>
      <w:r w:rsidRPr="004D292B">
        <w:t xml:space="preserve">, </w:t>
      </w:r>
      <w:r w:rsidRPr="004D292B">
        <w:rPr>
          <w:i/>
          <w:iCs/>
        </w:rPr>
        <w:t>17</w:t>
      </w:r>
      <w:r w:rsidRPr="004D292B">
        <w:t>(3), 884–894.</w:t>
      </w:r>
    </w:p>
    <w:p w14:paraId="3F32FFE2" w14:textId="77777777" w:rsidR="002B6180" w:rsidRPr="004D292B" w:rsidRDefault="00000000">
      <w:pPr>
        <w:pStyle w:val="Bibliography"/>
      </w:pPr>
      <w:bookmarkStart w:id="38" w:name="ref-kallen2025inhibitory"/>
      <w:bookmarkEnd w:id="37"/>
      <w:r w:rsidRPr="004D292B">
        <w:t xml:space="preserve">Kallen, A. M., &amp; Patrick, C. J. (2025). Inhibitory control and proneness to externalizing problems in humans: A neurobehavioral developmental perspective. In </w:t>
      </w:r>
      <w:r w:rsidRPr="004D292B">
        <w:rPr>
          <w:i/>
          <w:iCs/>
        </w:rPr>
        <w:t>Neurobehavioral individual differences: A transdisciplinary approach to advancing clinical science</w:t>
      </w:r>
      <w:r w:rsidRPr="004D292B">
        <w:t xml:space="preserve"> (pp. 183–202). Springer.</w:t>
      </w:r>
    </w:p>
    <w:p w14:paraId="228F5121" w14:textId="77777777" w:rsidR="002B6180" w:rsidRPr="004D292B" w:rsidRDefault="00000000">
      <w:pPr>
        <w:pStyle w:val="Bibliography"/>
      </w:pPr>
      <w:bookmarkStart w:id="39" w:name="ref-kasuya1986normalized"/>
      <w:bookmarkEnd w:id="38"/>
      <w:r w:rsidRPr="004D292B">
        <w:lastRenderedPageBreak/>
        <w:t xml:space="preserve">Kasuya, H., Ogawa, S., Mashima, K., &amp; Ebihara, S. (1986). Normalized noise energy as an acoustic measure to evaluate pathologic voice. </w:t>
      </w:r>
      <w:r w:rsidRPr="004D292B">
        <w:rPr>
          <w:i/>
          <w:iCs/>
        </w:rPr>
        <w:t>The Journal of the Acoustical Society of America</w:t>
      </w:r>
      <w:r w:rsidRPr="004D292B">
        <w:t xml:space="preserve">, </w:t>
      </w:r>
      <w:r w:rsidRPr="004D292B">
        <w:rPr>
          <w:i/>
          <w:iCs/>
        </w:rPr>
        <w:t>80</w:t>
      </w:r>
      <w:r w:rsidRPr="004D292B">
        <w:t>(5), 1329–1334.</w:t>
      </w:r>
    </w:p>
    <w:p w14:paraId="6F28292A" w14:textId="77777777" w:rsidR="00EA0CD4" w:rsidRPr="004D292B" w:rsidRDefault="00EA0CD4">
      <w:pPr>
        <w:pStyle w:val="Bibliography"/>
      </w:pPr>
      <w:bookmarkStart w:id="40" w:name="ref-koval2015emotion"/>
      <w:bookmarkEnd w:id="39"/>
      <w:r w:rsidRPr="004D292B">
        <w:t>Kaurin, A., Vize, C. E., &amp; Wright, A. G. C. (2025). The resolution of affective reactivity to stressful events. </w:t>
      </w:r>
      <w:r w:rsidRPr="004D292B">
        <w:rPr>
          <w:i/>
          <w:iCs/>
        </w:rPr>
        <w:t>Emotion.</w:t>
      </w:r>
      <w:r w:rsidRPr="004D292B">
        <w:t> Advance online publication.  </w:t>
      </w:r>
      <w:hyperlink r:id="rId11" w:tgtFrame="_blank" w:history="1">
        <w:r w:rsidRPr="004D292B">
          <w:rPr>
            <w:rStyle w:val="Hyperlink"/>
            <w:color w:val="auto"/>
          </w:rPr>
          <w:t>https://doi.org/10.1037/emo0001598</w:t>
        </w:r>
      </w:hyperlink>
    </w:p>
    <w:p w14:paraId="72C029B7" w14:textId="77777777" w:rsidR="002B6180" w:rsidRPr="004D292B" w:rsidRDefault="00000000">
      <w:pPr>
        <w:pStyle w:val="Bibliography"/>
      </w:pPr>
      <w:r w:rsidRPr="004D292B">
        <w:t xml:space="preserve">Koval, P., Butler, E. A., Hollenstein, T., Lanteigne, D., &amp; Kuppens, P. (2015). Emotion regulation and the temporal dynamics of emotions: Effects of cognitive reappraisal and expressive suppression on emotional inertia. </w:t>
      </w:r>
      <w:r w:rsidRPr="004D292B">
        <w:rPr>
          <w:i/>
          <w:iCs/>
        </w:rPr>
        <w:t>Cognition and Emotion</w:t>
      </w:r>
      <w:r w:rsidRPr="004D292B">
        <w:t xml:space="preserve">, </w:t>
      </w:r>
      <w:r w:rsidRPr="004D292B">
        <w:rPr>
          <w:i/>
          <w:iCs/>
        </w:rPr>
        <w:t>29</w:t>
      </w:r>
      <w:r w:rsidRPr="004D292B">
        <w:t>(5), 831–851.</w:t>
      </w:r>
    </w:p>
    <w:p w14:paraId="510D3C41" w14:textId="77777777" w:rsidR="002B6180" w:rsidRPr="004D292B" w:rsidRDefault="00000000">
      <w:pPr>
        <w:pStyle w:val="Bibliography"/>
      </w:pPr>
      <w:bookmarkStart w:id="41" w:name="ref-krueger2012initial"/>
      <w:bookmarkEnd w:id="40"/>
      <w:r w:rsidRPr="004D292B">
        <w:t xml:space="preserve">Krueger, R. F., Derringer, J., Markon, K. E., Watson, D., &amp; Skodol, A. E. (2012). Initial construction of a maladaptive personality trait model and inventory for DSM-5. </w:t>
      </w:r>
      <w:r w:rsidRPr="004D292B">
        <w:rPr>
          <w:i/>
          <w:iCs/>
        </w:rPr>
        <w:t>Psychological Medicine</w:t>
      </w:r>
      <w:r w:rsidRPr="004D292B">
        <w:t xml:space="preserve">, </w:t>
      </w:r>
      <w:r w:rsidRPr="004D292B">
        <w:rPr>
          <w:i/>
          <w:iCs/>
        </w:rPr>
        <w:t>42</w:t>
      </w:r>
      <w:r w:rsidRPr="004D292B">
        <w:t>(9), 1879–1890.</w:t>
      </w:r>
    </w:p>
    <w:p w14:paraId="03CD5D50" w14:textId="77777777" w:rsidR="002B6180" w:rsidRPr="004D292B" w:rsidRDefault="00000000">
      <w:pPr>
        <w:pStyle w:val="Bibliography"/>
      </w:pPr>
      <w:bookmarkStart w:id="42" w:name="ref-kuppens2010emotional"/>
      <w:bookmarkEnd w:id="41"/>
      <w:r w:rsidRPr="004D292B">
        <w:t xml:space="preserve">Kuppens, P., Allen, N. B., &amp; Sheeber, L. B. (2010). Emotional inertia and psychological maladjustment. </w:t>
      </w:r>
      <w:r w:rsidRPr="004D292B">
        <w:rPr>
          <w:i/>
          <w:iCs/>
        </w:rPr>
        <w:t>Psychological Science</w:t>
      </w:r>
      <w:r w:rsidRPr="004D292B">
        <w:t xml:space="preserve">, </w:t>
      </w:r>
      <w:r w:rsidRPr="004D292B">
        <w:rPr>
          <w:i/>
          <w:iCs/>
        </w:rPr>
        <w:t>21</w:t>
      </w:r>
      <w:r w:rsidRPr="004D292B">
        <w:t>(7), 984–991.</w:t>
      </w:r>
    </w:p>
    <w:p w14:paraId="7881756A" w14:textId="77777777" w:rsidR="002B6180" w:rsidRPr="004D292B" w:rsidRDefault="00000000">
      <w:pPr>
        <w:pStyle w:val="Bibliography"/>
      </w:pPr>
      <w:bookmarkStart w:id="43" w:name="ref-lahey2009public"/>
      <w:bookmarkEnd w:id="42"/>
      <w:r w:rsidRPr="004D292B">
        <w:t xml:space="preserve">Lahey, B. B. (2009). Public health significance of neuroticism. </w:t>
      </w:r>
      <w:r w:rsidRPr="004D292B">
        <w:rPr>
          <w:i/>
          <w:iCs/>
        </w:rPr>
        <w:t>American Psychologist</w:t>
      </w:r>
      <w:r w:rsidRPr="004D292B">
        <w:t xml:space="preserve">, </w:t>
      </w:r>
      <w:r w:rsidRPr="004D292B">
        <w:rPr>
          <w:i/>
          <w:iCs/>
        </w:rPr>
        <w:t>64</w:t>
      </w:r>
      <w:r w:rsidRPr="004D292B">
        <w:t>(4), 241–256.</w:t>
      </w:r>
    </w:p>
    <w:p w14:paraId="19825BEC" w14:textId="77777777" w:rsidR="002B6180" w:rsidRPr="004D292B" w:rsidRDefault="00000000">
      <w:pPr>
        <w:pStyle w:val="Bibliography"/>
      </w:pPr>
      <w:bookmarkStart w:id="44" w:name="ref-latzman2025neurobehavioral"/>
      <w:bookmarkEnd w:id="43"/>
      <w:r w:rsidRPr="004D292B">
        <w:t xml:space="preserve">Latzman, R. D., &amp; Patrick, C. J. (2025). </w:t>
      </w:r>
      <w:r w:rsidRPr="004D292B">
        <w:rPr>
          <w:i/>
          <w:iCs/>
        </w:rPr>
        <w:t>Neurobehavioral individual differences: A transdisciplinary approach to advancing clinical science</w:t>
      </w:r>
      <w:r w:rsidRPr="004D292B">
        <w:t>. Springer Nature.</w:t>
      </w:r>
    </w:p>
    <w:p w14:paraId="390D1C51" w14:textId="77777777" w:rsidR="002B6180" w:rsidRPr="004D292B" w:rsidRDefault="00000000">
      <w:pPr>
        <w:pStyle w:val="Bibliography"/>
      </w:pPr>
      <w:bookmarkStart w:id="45" w:name="ref-luo2023stressful"/>
      <w:bookmarkEnd w:id="44"/>
      <w:r w:rsidRPr="004D292B">
        <w:t xml:space="preserve">Luo, J., Zhang, B., Cao, M., &amp; Roberts, B. W. (2023). The stressful personality: A meta-analytical review of the relation between personality and stress. </w:t>
      </w:r>
      <w:r w:rsidRPr="004D292B">
        <w:rPr>
          <w:i/>
          <w:iCs/>
        </w:rPr>
        <w:t>Personality and Social Psychology Review</w:t>
      </w:r>
      <w:r w:rsidRPr="004D292B">
        <w:t xml:space="preserve">, </w:t>
      </w:r>
      <w:r w:rsidRPr="004D292B">
        <w:rPr>
          <w:i/>
          <w:iCs/>
        </w:rPr>
        <w:t>27</w:t>
      </w:r>
      <w:r w:rsidRPr="004D292B">
        <w:t>(2), 128–194.</w:t>
      </w:r>
    </w:p>
    <w:p w14:paraId="47041004" w14:textId="77777777" w:rsidR="002B6180" w:rsidRPr="004D292B" w:rsidRDefault="00000000">
      <w:pPr>
        <w:pStyle w:val="Bibliography"/>
      </w:pPr>
      <w:bookmarkStart w:id="46" w:name="ref-manfredi2017smartphones"/>
      <w:bookmarkEnd w:id="45"/>
      <w:r w:rsidRPr="004D292B">
        <w:lastRenderedPageBreak/>
        <w:t xml:space="preserve">Manfredi, C., Lebacq, J., Cantarella, G., Schoentgen, J., Orlandi, S., Bandini, A., &amp; DeJonckere, P. H. (2017). Smartphones offer new opportunities in clinical voice research. </w:t>
      </w:r>
      <w:r w:rsidRPr="004D292B">
        <w:rPr>
          <w:i/>
          <w:iCs/>
        </w:rPr>
        <w:t>Journal of Voice</w:t>
      </w:r>
      <w:r w:rsidRPr="004D292B">
        <w:t xml:space="preserve">, </w:t>
      </w:r>
      <w:r w:rsidRPr="004D292B">
        <w:rPr>
          <w:i/>
          <w:iCs/>
        </w:rPr>
        <w:t>31</w:t>
      </w:r>
      <w:r w:rsidRPr="004D292B">
        <w:t>(1), 111–e1.</w:t>
      </w:r>
    </w:p>
    <w:p w14:paraId="01E732F6" w14:textId="77777777" w:rsidR="002B6180" w:rsidRPr="004D292B" w:rsidRDefault="00000000">
      <w:pPr>
        <w:pStyle w:val="Bibliography"/>
      </w:pPr>
      <w:bookmarkStart w:id="47" w:name="ref-mendoza1998acoustic"/>
      <w:bookmarkEnd w:id="46"/>
      <w:r w:rsidRPr="004D292B">
        <w:t xml:space="preserve">Mendoza, E., &amp; Carballo, G. (1998). Acoustic analysis of induced vocal stress by means of cognitive workload tasks. </w:t>
      </w:r>
      <w:r w:rsidRPr="004D292B">
        <w:rPr>
          <w:i/>
          <w:iCs/>
        </w:rPr>
        <w:t>Journal of Voice</w:t>
      </w:r>
      <w:r w:rsidRPr="004D292B">
        <w:t xml:space="preserve">, </w:t>
      </w:r>
      <w:r w:rsidRPr="004D292B">
        <w:rPr>
          <w:i/>
          <w:iCs/>
        </w:rPr>
        <w:t>12</w:t>
      </w:r>
      <w:r w:rsidRPr="004D292B">
        <w:t>(3), 263–273.</w:t>
      </w:r>
    </w:p>
    <w:p w14:paraId="1D9AC21D" w14:textId="77777777" w:rsidR="00687EE9" w:rsidRPr="004D292B" w:rsidRDefault="00687EE9" w:rsidP="00687EE9">
      <w:pPr>
        <w:pStyle w:val="Bibliography"/>
      </w:pPr>
      <w:r w:rsidRPr="004D292B">
        <w:t xml:space="preserve">Mestdagh, M., Verdonck, S., Piot, M., Niemeijer, K., Kilani, G., Tuerlinckx, F., Kuppens, P., &amp; Dejonckheere, E. (2023). M-path: An easy-to-use and highly tailorable platform for ecological momentary assessment and intervention in behavioral research and clinical practice. </w:t>
      </w:r>
      <w:r w:rsidRPr="004D292B">
        <w:rPr>
          <w:i/>
          <w:iCs/>
        </w:rPr>
        <w:t>Frontiers in Digital Health, 5</w:t>
      </w:r>
      <w:r w:rsidRPr="004D292B">
        <w:t>, 1182175.</w:t>
      </w:r>
    </w:p>
    <w:p w14:paraId="55159599" w14:textId="77777777" w:rsidR="00A15DC0" w:rsidRPr="004D292B" w:rsidRDefault="00A15DC0" w:rsidP="00A15DC0">
      <w:pPr>
        <w:pStyle w:val="Bibliography"/>
      </w:pPr>
      <w:r w:rsidRPr="004D292B">
        <w:t xml:space="preserve">Mischel, W., &amp; Shoda, Y. (1995). A cognitive-affective system theory of personality. </w:t>
      </w:r>
      <w:r w:rsidRPr="004D292B">
        <w:rPr>
          <w:i/>
          <w:iCs/>
        </w:rPr>
        <w:t>Psychological Review, 102</w:t>
      </w:r>
      <w:r w:rsidRPr="004D292B">
        <w:t>(2), 246.</w:t>
      </w:r>
    </w:p>
    <w:p w14:paraId="00F12E13" w14:textId="779CF711" w:rsidR="006F0EBF" w:rsidRPr="004D292B" w:rsidRDefault="006F0EBF" w:rsidP="00A15DC0">
      <w:pPr>
        <w:pStyle w:val="Bibliography"/>
        <w:rPr>
          <w:lang w:val="it-IT"/>
        </w:rPr>
      </w:pPr>
      <w:r w:rsidRPr="004D292B">
        <w:t xml:space="preserve">Molenaar, P. C. M. (2004). A manifesto on psychology as idiographic science: Bringing the person back into scientific psychology, this time forever. </w:t>
      </w:r>
      <w:r w:rsidRPr="004D292B">
        <w:rPr>
          <w:rStyle w:val="Emphasis"/>
        </w:rPr>
        <w:t>Measurement: Interdisciplinary Research and Perspectives, 2</w:t>
      </w:r>
      <w:r w:rsidRPr="004D292B">
        <w:t xml:space="preserve">(4), 201–218. </w:t>
      </w:r>
      <w:hyperlink r:id="rId12" w:history="1">
        <w:r w:rsidRPr="004D292B">
          <w:rPr>
            <w:rStyle w:val="Hyperlink"/>
            <w:color w:val="auto"/>
            <w:lang w:val="it-IT"/>
          </w:rPr>
          <w:t>https://doi.org/10.1207/5366359mea0204_1</w:t>
        </w:r>
      </w:hyperlink>
    </w:p>
    <w:p w14:paraId="3818EEDE" w14:textId="549EC061" w:rsidR="002B6180" w:rsidRPr="004D292B" w:rsidRDefault="00000000">
      <w:pPr>
        <w:pStyle w:val="Bibliography"/>
      </w:pPr>
      <w:bookmarkStart w:id="48" w:name="ref-morelli2019biovoice"/>
      <w:bookmarkEnd w:id="47"/>
      <w:r w:rsidRPr="004D292B">
        <w:rPr>
          <w:lang w:val="it-IT"/>
        </w:rPr>
        <w:t xml:space="preserve">Morelli, M. S., Orlandi, S., &amp; Manfredi, C. (2021). </w:t>
      </w:r>
      <w:proofErr w:type="spellStart"/>
      <w:r w:rsidRPr="004D292B">
        <w:t>BioVoice</w:t>
      </w:r>
      <w:proofErr w:type="spellEnd"/>
      <w:r w:rsidRPr="004D292B">
        <w:t xml:space="preserve">: A multipurpose tool for voice analysis. </w:t>
      </w:r>
      <w:r w:rsidRPr="004D292B">
        <w:rPr>
          <w:i/>
          <w:iCs/>
        </w:rPr>
        <w:t>Biomedical Signal Processing and Control, 64</w:t>
      </w:r>
      <w:r w:rsidRPr="004D292B">
        <w:t>, Article 102302. https://doi.org/10.1016/j.bspc.2020.102302</w:t>
      </w:r>
    </w:p>
    <w:p w14:paraId="2F907DC9" w14:textId="77777777" w:rsidR="006B4640" w:rsidRPr="004D292B" w:rsidRDefault="006B4640">
      <w:pPr>
        <w:pStyle w:val="Bibliography"/>
      </w:pPr>
      <w:r w:rsidRPr="004D292B">
        <w:t>Myin-Germeys, I., &amp; van Os, J. (2007). Stress-reactivity in psychosis: evidence for an affective pathway to psychosis. </w:t>
      </w:r>
      <w:r w:rsidRPr="004D292B">
        <w:rPr>
          <w:i/>
          <w:iCs/>
        </w:rPr>
        <w:t>Clinical Psychology Review</w:t>
      </w:r>
      <w:r w:rsidRPr="004D292B">
        <w:t>, </w:t>
      </w:r>
      <w:r w:rsidRPr="004D292B">
        <w:rPr>
          <w:i/>
          <w:iCs/>
        </w:rPr>
        <w:t>27</w:t>
      </w:r>
      <w:r w:rsidRPr="004D292B">
        <w:t>(4), 409-424.</w:t>
      </w:r>
    </w:p>
    <w:p w14:paraId="55365844" w14:textId="77777777" w:rsidR="002B6180" w:rsidRPr="004D292B" w:rsidRDefault="00000000">
      <w:pPr>
        <w:pStyle w:val="Bibliography"/>
      </w:pPr>
      <w:bookmarkStart w:id="49" w:name="ref-ormel2013neuroticism"/>
      <w:bookmarkEnd w:id="48"/>
      <w:r w:rsidRPr="004D292B">
        <w:lastRenderedPageBreak/>
        <w:t xml:space="preserve">Ormel, J., Jeronimus, B. F., Kotov, R., Riese, H., Bos, E. H., Hankin, B., … Oldehinkel, A. J. (2013). Neuroticism and common mental disorders: Meaning and utility of a complex relationship. </w:t>
      </w:r>
      <w:r w:rsidRPr="004D292B">
        <w:rPr>
          <w:i/>
          <w:iCs/>
        </w:rPr>
        <w:t>Clinical Psychology Review</w:t>
      </w:r>
      <w:r w:rsidRPr="004D292B">
        <w:t xml:space="preserve">, </w:t>
      </w:r>
      <w:r w:rsidRPr="004D292B">
        <w:rPr>
          <w:i/>
          <w:iCs/>
        </w:rPr>
        <w:t>33</w:t>
      </w:r>
      <w:r w:rsidRPr="004D292B">
        <w:t>(5), 686–697.</w:t>
      </w:r>
    </w:p>
    <w:p w14:paraId="20E51726" w14:textId="77777777" w:rsidR="002B6180" w:rsidRPr="004D292B" w:rsidRDefault="00000000">
      <w:pPr>
        <w:pStyle w:val="Bibliography"/>
      </w:pPr>
      <w:bookmarkStart w:id="50" w:name="ref-scherer2003vocal"/>
      <w:bookmarkEnd w:id="49"/>
      <w:r w:rsidRPr="004D292B">
        <w:t xml:space="preserve">Scherer, K. R. (2003). Vocal expression of emotion. </w:t>
      </w:r>
      <w:r w:rsidRPr="004D292B">
        <w:rPr>
          <w:i/>
          <w:iCs/>
        </w:rPr>
        <w:t>Handbook of Affective Sciences</w:t>
      </w:r>
      <w:r w:rsidRPr="004D292B">
        <w:t>, 433–456.</w:t>
      </w:r>
    </w:p>
    <w:p w14:paraId="34215AF8" w14:textId="779A4F98" w:rsidR="00843E3B" w:rsidRPr="004D292B" w:rsidRDefault="00843E3B">
      <w:pPr>
        <w:pStyle w:val="Bibliography"/>
      </w:pPr>
      <w:proofErr w:type="spellStart"/>
      <w:r w:rsidRPr="004D292B">
        <w:t>Schimmack</w:t>
      </w:r>
      <w:proofErr w:type="spellEnd"/>
      <w:r w:rsidRPr="004D292B">
        <w:t xml:space="preserve">, U. (2003). Affect measurement in experience sampling research. </w:t>
      </w:r>
      <w:r w:rsidRPr="004D292B">
        <w:rPr>
          <w:rStyle w:val="Emphasis"/>
        </w:rPr>
        <w:t>Journal of Happiness Studies, 4</w:t>
      </w:r>
      <w:r w:rsidRPr="004D292B">
        <w:t xml:space="preserve">(1), 79–106. </w:t>
      </w:r>
      <w:hyperlink r:id="rId13" w:history="1">
        <w:r w:rsidRPr="004D292B">
          <w:rPr>
            <w:rStyle w:val="Hyperlink"/>
            <w:color w:val="auto"/>
          </w:rPr>
          <w:t>https://doi.org/10.1023/A:1023661322862</w:t>
        </w:r>
      </w:hyperlink>
    </w:p>
    <w:p w14:paraId="0FB5DC9B" w14:textId="77777777" w:rsidR="002B6180" w:rsidRPr="004D292B" w:rsidRDefault="00000000">
      <w:pPr>
        <w:pStyle w:val="Bibliography"/>
      </w:pPr>
      <w:bookmarkStart w:id="51" w:name="ref-sica2024comparing"/>
      <w:bookmarkEnd w:id="50"/>
      <w:r w:rsidRPr="004D292B">
        <w:t xml:space="preserve">Sica, C., Caudek, C., Colpizzi, I., Bottesi, G., Iannattone, S., &amp; Patrick, C. J. (2024). Comparing the DSM-5 dimensional trait and triarchic model conceptions of psychopathy: An external validity analysis. </w:t>
      </w:r>
      <w:r w:rsidRPr="004D292B">
        <w:rPr>
          <w:i/>
          <w:iCs/>
        </w:rPr>
        <w:t>Journal of Personality Disorders</w:t>
      </w:r>
      <w:r w:rsidRPr="004D292B">
        <w:t xml:space="preserve">, </w:t>
      </w:r>
      <w:r w:rsidRPr="004D292B">
        <w:rPr>
          <w:i/>
          <w:iCs/>
        </w:rPr>
        <w:t>38</w:t>
      </w:r>
      <w:r w:rsidRPr="004D292B">
        <w:t>(4), 368–400.</w:t>
      </w:r>
    </w:p>
    <w:p w14:paraId="4EDCEAF1" w14:textId="77777777" w:rsidR="002B6180" w:rsidRPr="004D292B" w:rsidRDefault="00000000">
      <w:pPr>
        <w:pStyle w:val="Bibliography"/>
      </w:pPr>
      <w:bookmarkStart w:id="52" w:name="ref-sica2021facing"/>
      <w:bookmarkEnd w:id="51"/>
      <w:r w:rsidRPr="004D292B">
        <w:t xml:space="preserve">Sica, C., Latzman, R. D., Caudek, C., Cerea, S., Colpizzi, I., Caruso, M., … Bottesi, G. (2021). Facing distress in coronavirus era: The role of maladaptive personality traits and coping strategies. </w:t>
      </w:r>
      <w:r w:rsidRPr="004D292B">
        <w:rPr>
          <w:i/>
          <w:iCs/>
        </w:rPr>
        <w:t>Personality and Individual Differences</w:t>
      </w:r>
      <w:r w:rsidRPr="004D292B">
        <w:t xml:space="preserve">, </w:t>
      </w:r>
      <w:r w:rsidRPr="004D292B">
        <w:rPr>
          <w:i/>
          <w:iCs/>
        </w:rPr>
        <w:t>177</w:t>
      </w:r>
      <w:r w:rsidRPr="004D292B">
        <w:t>, 110833.</w:t>
      </w:r>
    </w:p>
    <w:p w14:paraId="0C2E0814" w14:textId="77777777" w:rsidR="002B6180" w:rsidRPr="004D292B" w:rsidRDefault="00000000">
      <w:pPr>
        <w:pStyle w:val="Bibliography"/>
      </w:pPr>
      <w:bookmarkStart w:id="53" w:name="ref-titze1994mechanical"/>
      <w:bookmarkEnd w:id="52"/>
      <w:r w:rsidRPr="004D292B">
        <w:t xml:space="preserve">Titze, I. R. (1994). Mechanical stress in phonation. </w:t>
      </w:r>
      <w:r w:rsidRPr="004D292B">
        <w:rPr>
          <w:i/>
          <w:iCs/>
        </w:rPr>
        <w:t>Journal of Voice</w:t>
      </w:r>
      <w:r w:rsidRPr="004D292B">
        <w:t xml:space="preserve">, </w:t>
      </w:r>
      <w:r w:rsidRPr="004D292B">
        <w:rPr>
          <w:i/>
          <w:iCs/>
        </w:rPr>
        <w:t>8</w:t>
      </w:r>
      <w:r w:rsidRPr="004D292B">
        <w:t>(2), 99–105.</w:t>
      </w:r>
    </w:p>
    <w:p w14:paraId="5CF8A9A7" w14:textId="77777777" w:rsidR="002B6180" w:rsidRPr="004D292B" w:rsidRDefault="00000000">
      <w:pPr>
        <w:pStyle w:val="Bibliography"/>
      </w:pPr>
      <w:bookmarkStart w:id="54" w:name="ref-trull2020ambulatory"/>
      <w:bookmarkEnd w:id="53"/>
      <w:r w:rsidRPr="004D292B">
        <w:t xml:space="preserve">Trull, T. J., &amp; Ebner-Priemer, U. W. (2020). Ambulatory assessment in psychopathology research: A review of recommended reporting guidelines and current practices. </w:t>
      </w:r>
      <w:r w:rsidRPr="004D292B">
        <w:rPr>
          <w:i/>
          <w:iCs/>
        </w:rPr>
        <w:t>Journal of Abnormal Psychology</w:t>
      </w:r>
      <w:r w:rsidRPr="004D292B">
        <w:t xml:space="preserve">, </w:t>
      </w:r>
      <w:r w:rsidRPr="004D292B">
        <w:rPr>
          <w:i/>
          <w:iCs/>
        </w:rPr>
        <w:t>129</w:t>
      </w:r>
      <w:r w:rsidRPr="004D292B">
        <w:t xml:space="preserve">(1), 56–63. </w:t>
      </w:r>
    </w:p>
    <w:p w14:paraId="4A9142F6" w14:textId="77777777" w:rsidR="002B6180" w:rsidRPr="004D292B" w:rsidRDefault="00000000">
      <w:pPr>
        <w:pStyle w:val="Bibliography"/>
      </w:pPr>
      <w:bookmarkStart w:id="55" w:name="ref-van2018voice"/>
      <w:bookmarkEnd w:id="54"/>
      <w:r w:rsidRPr="004D292B">
        <w:t xml:space="preserve">Van Puyvelde, M., Neyt, X., McGlone, F., &amp; Pattyn, N. (2018). Voice stress analysis: A new framework for voice and effort in human performance. </w:t>
      </w:r>
      <w:r w:rsidRPr="004D292B">
        <w:rPr>
          <w:i/>
          <w:iCs/>
        </w:rPr>
        <w:t>Frontiers in Psychology</w:t>
      </w:r>
      <w:r w:rsidRPr="004D292B">
        <w:t xml:space="preserve">, </w:t>
      </w:r>
      <w:r w:rsidRPr="004D292B">
        <w:rPr>
          <w:i/>
          <w:iCs/>
        </w:rPr>
        <w:t>9</w:t>
      </w:r>
      <w:r w:rsidRPr="004D292B">
        <w:t>, 1994.</w:t>
      </w:r>
    </w:p>
    <w:p w14:paraId="41C2A24C" w14:textId="77777777" w:rsidR="00010A02" w:rsidRPr="004D292B" w:rsidRDefault="00010A02">
      <w:pPr>
        <w:pStyle w:val="Bibliography"/>
      </w:pPr>
      <w:r w:rsidRPr="004D292B">
        <w:t xml:space="preserve">Vize, C. E., Kaurin, A., &amp; Wright, A. G. C. (2024). Personality pathology and momentary stress processes. </w:t>
      </w:r>
      <w:r w:rsidRPr="004D292B">
        <w:rPr>
          <w:i/>
          <w:iCs/>
        </w:rPr>
        <w:t>Clinical Psychological Science, 12</w:t>
      </w:r>
      <w:r w:rsidRPr="004D292B">
        <w:t xml:space="preserve">(4), 686–705. </w:t>
      </w:r>
    </w:p>
    <w:p w14:paraId="62D909A9" w14:textId="77777777" w:rsidR="00010A02" w:rsidRPr="004D292B" w:rsidRDefault="002D5A52" w:rsidP="00010A02">
      <w:pPr>
        <w:pStyle w:val="Bibliography"/>
      </w:pPr>
      <w:r w:rsidRPr="004D292B">
        <w:lastRenderedPageBreak/>
        <w:t xml:space="preserve">Vize, C. E., Scott, L. N., Kamarck, T. W., &amp; Wright, A. G. C. (2026). Socioaffective Dynamics of Psychopathy in Daily Life. </w:t>
      </w:r>
      <w:r w:rsidRPr="004D292B">
        <w:rPr>
          <w:i/>
          <w:iCs/>
        </w:rPr>
        <w:t>Clinical Psychological Science</w:t>
      </w:r>
      <w:r w:rsidRPr="004D292B">
        <w:t xml:space="preserve">, </w:t>
      </w:r>
      <w:r w:rsidRPr="004D292B">
        <w:rPr>
          <w:i/>
          <w:iCs/>
        </w:rPr>
        <w:t>0</w:t>
      </w:r>
      <w:r w:rsidRPr="004D292B">
        <w:t xml:space="preserve">(0). </w:t>
      </w:r>
    </w:p>
    <w:p w14:paraId="3B54803F" w14:textId="77777777" w:rsidR="00620081" w:rsidRPr="004D292B" w:rsidRDefault="00620081" w:rsidP="00010A02">
      <w:pPr>
        <w:pStyle w:val="Bibliography"/>
      </w:pPr>
      <w:r w:rsidRPr="004D292B">
        <w:t>Walter, E. E., Fernandez, F., Snelling, M., &amp; Barkus, E. (2018). Stress induced cortisol release and schizotypy. </w:t>
      </w:r>
      <w:r w:rsidRPr="004D292B">
        <w:rPr>
          <w:i/>
          <w:iCs/>
        </w:rPr>
        <w:t>Psychoneuroendocrinology</w:t>
      </w:r>
      <w:r w:rsidRPr="004D292B">
        <w:t>, </w:t>
      </w:r>
      <w:r w:rsidRPr="004D292B">
        <w:rPr>
          <w:i/>
          <w:iCs/>
        </w:rPr>
        <w:t>89</w:t>
      </w:r>
      <w:r w:rsidRPr="004D292B">
        <w:t>, 209-215.</w:t>
      </w:r>
    </w:p>
    <w:p w14:paraId="33C8C149" w14:textId="77777777" w:rsidR="00B2233C" w:rsidRPr="004D292B" w:rsidRDefault="00B2233C" w:rsidP="00B2233C">
      <w:pPr>
        <w:pStyle w:val="Bibliography"/>
      </w:pPr>
      <w:bookmarkStart w:id="56" w:name="ref-widiger2019five"/>
      <w:bookmarkStart w:id="57" w:name="ref-wright2016stability"/>
      <w:bookmarkEnd w:id="55"/>
      <w:r w:rsidRPr="004D292B">
        <w:t xml:space="preserve">Widiger, T. A., &amp; Crego, C. (2019). The five-factor model of personality structure: An update. </w:t>
      </w:r>
      <w:r w:rsidRPr="004D292B">
        <w:rPr>
          <w:i/>
          <w:iCs/>
        </w:rPr>
        <w:t>World Psychiatry</w:t>
      </w:r>
      <w:r w:rsidRPr="004D292B">
        <w:t xml:space="preserve">, </w:t>
      </w:r>
      <w:r w:rsidRPr="004D292B">
        <w:rPr>
          <w:i/>
          <w:iCs/>
        </w:rPr>
        <w:t>18</w:t>
      </w:r>
      <w:r w:rsidRPr="004D292B">
        <w:t>(3), 271.</w:t>
      </w:r>
    </w:p>
    <w:p w14:paraId="37ABE38A" w14:textId="77777777" w:rsidR="00B2233C" w:rsidRPr="004D292B" w:rsidRDefault="00B2233C" w:rsidP="00B2233C">
      <w:pPr>
        <w:pStyle w:val="Bibliography"/>
      </w:pPr>
      <w:bookmarkStart w:id="58" w:name="ref-wright2019focusing"/>
      <w:bookmarkEnd w:id="56"/>
      <w:r w:rsidRPr="004D292B">
        <w:t xml:space="preserve">Wright, A. G., Gates, K. M., Arizmendi, C., Lane, S. T., Woods, W. C., &amp; Edershile, E. A. (2019). Focusing personality assessment on the person: Modeling general, shared, and person specific processes in personality and psychopathology. </w:t>
      </w:r>
      <w:r w:rsidRPr="004D292B">
        <w:rPr>
          <w:i/>
          <w:iCs/>
        </w:rPr>
        <w:t>Psychological Assessment</w:t>
      </w:r>
      <w:r w:rsidRPr="004D292B">
        <w:t xml:space="preserve">, </w:t>
      </w:r>
      <w:r w:rsidRPr="004D292B">
        <w:rPr>
          <w:i/>
          <w:iCs/>
        </w:rPr>
        <w:t>31</w:t>
      </w:r>
      <w:r w:rsidRPr="004D292B">
        <w:t>(4), 502.</w:t>
      </w:r>
    </w:p>
    <w:p w14:paraId="5844ECB0" w14:textId="77777777" w:rsidR="00B2233C" w:rsidRPr="004D292B" w:rsidRDefault="00B2233C" w:rsidP="00B2233C">
      <w:pPr>
        <w:pStyle w:val="Bibliography"/>
      </w:pPr>
      <w:bookmarkStart w:id="59" w:name="ref-wright2025measuring"/>
      <w:bookmarkEnd w:id="58"/>
      <w:r w:rsidRPr="004D292B">
        <w:t xml:space="preserve">Wright, A. G., Ringwald, W. R., &amp; Zimmermann, J. (2025). Measuring psychopathology in daily life. </w:t>
      </w:r>
      <w:r w:rsidRPr="004D292B">
        <w:rPr>
          <w:i/>
          <w:iCs/>
        </w:rPr>
        <w:t>Clinical Psychological Science</w:t>
      </w:r>
      <w:r w:rsidRPr="004D292B">
        <w:t xml:space="preserve">, </w:t>
      </w:r>
      <w:r w:rsidRPr="004D292B">
        <w:rPr>
          <w:i/>
          <w:iCs/>
        </w:rPr>
        <w:t>13</w:t>
      </w:r>
      <w:r w:rsidRPr="004D292B">
        <w:t>(3), 649–663.</w:t>
      </w:r>
    </w:p>
    <w:bookmarkEnd w:id="59"/>
    <w:p w14:paraId="673907AF" w14:textId="77777777" w:rsidR="009E444E" w:rsidRPr="004D292B" w:rsidRDefault="00B2233C" w:rsidP="00917776">
      <w:pPr>
        <w:pStyle w:val="Bibliography"/>
      </w:pPr>
      <w:r w:rsidRPr="004D292B">
        <w:t xml:space="preserve">Wright, A. G., &amp; Simms, L. J. (2016). Stability and fluctuation of personality disorder features in daily life. </w:t>
      </w:r>
      <w:r w:rsidRPr="004D292B">
        <w:rPr>
          <w:i/>
          <w:iCs/>
        </w:rPr>
        <w:t>Journal of Abnormal Psychology</w:t>
      </w:r>
      <w:r w:rsidRPr="004D292B">
        <w:t xml:space="preserve">, </w:t>
      </w:r>
      <w:r w:rsidRPr="004D292B">
        <w:rPr>
          <w:i/>
          <w:iCs/>
        </w:rPr>
        <w:t>125</w:t>
      </w:r>
      <w:r w:rsidRPr="004D292B">
        <w:t>(5), 641.</w:t>
      </w:r>
    </w:p>
    <w:p w14:paraId="11E8A60F" w14:textId="77777777" w:rsidR="00C767F7" w:rsidRPr="004D292B" w:rsidRDefault="00C767F7" w:rsidP="009E444E">
      <w:pPr>
        <w:pStyle w:val="Bibliography"/>
        <w:spacing w:line="240" w:lineRule="auto"/>
        <w:ind w:left="0" w:firstLine="0"/>
        <w:rPr>
          <w:b/>
          <w:bCs/>
        </w:rPr>
      </w:pPr>
    </w:p>
    <w:p w14:paraId="25374CFE" w14:textId="77777777" w:rsidR="00C767F7" w:rsidRPr="004D292B" w:rsidRDefault="00C767F7" w:rsidP="009E444E">
      <w:pPr>
        <w:pStyle w:val="Bibliography"/>
        <w:spacing w:line="240" w:lineRule="auto"/>
        <w:ind w:left="0" w:firstLine="0"/>
        <w:rPr>
          <w:b/>
          <w:bCs/>
        </w:rPr>
      </w:pPr>
    </w:p>
    <w:p w14:paraId="559160F2" w14:textId="77777777" w:rsidR="00C767F7" w:rsidRPr="004D292B" w:rsidRDefault="00C767F7" w:rsidP="009E444E">
      <w:pPr>
        <w:pStyle w:val="Bibliography"/>
        <w:spacing w:line="240" w:lineRule="auto"/>
        <w:ind w:left="0" w:firstLine="0"/>
        <w:rPr>
          <w:b/>
          <w:bCs/>
        </w:rPr>
      </w:pPr>
    </w:p>
    <w:p w14:paraId="4541185A" w14:textId="77777777" w:rsidR="00C767F7" w:rsidRPr="004D292B" w:rsidRDefault="00C767F7" w:rsidP="009E444E">
      <w:pPr>
        <w:pStyle w:val="Bibliography"/>
        <w:spacing w:line="240" w:lineRule="auto"/>
        <w:ind w:left="0" w:firstLine="0"/>
        <w:rPr>
          <w:b/>
          <w:bCs/>
        </w:rPr>
      </w:pPr>
    </w:p>
    <w:p w14:paraId="6D5018DF" w14:textId="77777777" w:rsidR="00C767F7" w:rsidRPr="004D292B" w:rsidRDefault="00C767F7" w:rsidP="009E444E">
      <w:pPr>
        <w:pStyle w:val="Bibliography"/>
        <w:spacing w:line="240" w:lineRule="auto"/>
        <w:ind w:left="0" w:firstLine="0"/>
        <w:rPr>
          <w:b/>
          <w:bCs/>
        </w:rPr>
      </w:pPr>
    </w:p>
    <w:p w14:paraId="34D71D98" w14:textId="77777777" w:rsidR="00C767F7" w:rsidRPr="004D292B" w:rsidRDefault="00C767F7" w:rsidP="009E444E">
      <w:pPr>
        <w:pStyle w:val="Bibliography"/>
        <w:spacing w:line="240" w:lineRule="auto"/>
        <w:ind w:left="0" w:firstLine="0"/>
        <w:rPr>
          <w:b/>
          <w:bCs/>
        </w:rPr>
      </w:pPr>
    </w:p>
    <w:p w14:paraId="3B97305A" w14:textId="77777777" w:rsidR="00C767F7" w:rsidRPr="004D292B" w:rsidRDefault="00C767F7" w:rsidP="009E444E">
      <w:pPr>
        <w:pStyle w:val="Bibliography"/>
        <w:spacing w:line="240" w:lineRule="auto"/>
        <w:ind w:left="0" w:firstLine="0"/>
        <w:rPr>
          <w:b/>
          <w:bCs/>
        </w:rPr>
      </w:pPr>
    </w:p>
    <w:p w14:paraId="3226C842" w14:textId="77777777" w:rsidR="00C767F7" w:rsidRPr="004D292B" w:rsidRDefault="00C767F7" w:rsidP="009E444E">
      <w:pPr>
        <w:pStyle w:val="Bibliography"/>
        <w:spacing w:line="240" w:lineRule="auto"/>
        <w:ind w:left="0" w:firstLine="0"/>
        <w:rPr>
          <w:b/>
          <w:bCs/>
        </w:rPr>
      </w:pPr>
    </w:p>
    <w:p w14:paraId="14DD6478" w14:textId="77777777" w:rsidR="00C767F7" w:rsidRPr="004D292B" w:rsidRDefault="00C767F7" w:rsidP="009E444E">
      <w:pPr>
        <w:pStyle w:val="Bibliography"/>
        <w:spacing w:line="240" w:lineRule="auto"/>
        <w:ind w:left="0" w:firstLine="0"/>
        <w:rPr>
          <w:b/>
          <w:bCs/>
        </w:rPr>
      </w:pPr>
    </w:p>
    <w:p w14:paraId="0C6416EE" w14:textId="77777777" w:rsidR="00C767F7" w:rsidRPr="004D292B" w:rsidRDefault="00C767F7" w:rsidP="009E444E">
      <w:pPr>
        <w:pStyle w:val="Bibliography"/>
        <w:spacing w:line="240" w:lineRule="auto"/>
        <w:ind w:left="0" w:firstLine="0"/>
        <w:rPr>
          <w:b/>
          <w:bCs/>
        </w:rPr>
      </w:pPr>
    </w:p>
    <w:p w14:paraId="76D058F0" w14:textId="77777777" w:rsidR="00C767F7" w:rsidRPr="004D292B" w:rsidRDefault="00C767F7" w:rsidP="009E444E">
      <w:pPr>
        <w:pStyle w:val="Bibliography"/>
        <w:spacing w:line="240" w:lineRule="auto"/>
        <w:ind w:left="0" w:firstLine="0"/>
        <w:rPr>
          <w:b/>
          <w:bCs/>
        </w:rPr>
      </w:pPr>
    </w:p>
    <w:p w14:paraId="31F0DD09" w14:textId="77777777" w:rsidR="00C767F7" w:rsidRPr="004D292B" w:rsidRDefault="00C767F7" w:rsidP="009E444E">
      <w:pPr>
        <w:pStyle w:val="Bibliography"/>
        <w:spacing w:line="240" w:lineRule="auto"/>
        <w:ind w:left="0" w:firstLine="0"/>
        <w:rPr>
          <w:b/>
          <w:bCs/>
        </w:rPr>
      </w:pPr>
    </w:p>
    <w:p w14:paraId="005C60B0" w14:textId="77777777" w:rsidR="00C767F7" w:rsidRPr="004D292B" w:rsidRDefault="00C767F7" w:rsidP="009E444E">
      <w:pPr>
        <w:pStyle w:val="Bibliography"/>
        <w:spacing w:line="240" w:lineRule="auto"/>
        <w:ind w:left="0" w:firstLine="0"/>
        <w:rPr>
          <w:b/>
          <w:bCs/>
        </w:rPr>
      </w:pPr>
    </w:p>
    <w:p w14:paraId="72F5FF2D" w14:textId="77777777" w:rsidR="00C767F7" w:rsidRPr="004D292B" w:rsidRDefault="00C767F7" w:rsidP="009E444E">
      <w:pPr>
        <w:pStyle w:val="Bibliography"/>
        <w:spacing w:line="240" w:lineRule="auto"/>
        <w:ind w:left="0" w:firstLine="0"/>
        <w:rPr>
          <w:b/>
          <w:bCs/>
        </w:rPr>
      </w:pPr>
    </w:p>
    <w:p w14:paraId="624B46E0" w14:textId="77777777" w:rsidR="00C767F7" w:rsidRPr="004D292B" w:rsidRDefault="00C767F7" w:rsidP="009E444E">
      <w:pPr>
        <w:pStyle w:val="Bibliography"/>
        <w:spacing w:line="240" w:lineRule="auto"/>
        <w:ind w:left="0" w:firstLine="0"/>
        <w:rPr>
          <w:b/>
          <w:bCs/>
        </w:rPr>
      </w:pPr>
    </w:p>
    <w:p w14:paraId="7CEAEC3E" w14:textId="77777777" w:rsidR="00C767F7" w:rsidRPr="004D292B" w:rsidRDefault="00C767F7" w:rsidP="009E444E">
      <w:pPr>
        <w:pStyle w:val="Bibliography"/>
        <w:spacing w:line="240" w:lineRule="auto"/>
        <w:ind w:left="0" w:firstLine="0"/>
        <w:rPr>
          <w:b/>
          <w:bCs/>
        </w:rPr>
      </w:pPr>
    </w:p>
    <w:p w14:paraId="5B7603CD" w14:textId="77777777" w:rsidR="009E444E" w:rsidRPr="004D292B" w:rsidRDefault="009E444E" w:rsidP="009E444E">
      <w:pPr>
        <w:spacing w:before="0" w:after="200" w:line="240" w:lineRule="auto"/>
        <w:rPr>
          <w:b/>
          <w:bCs/>
        </w:rPr>
      </w:pPr>
      <w:r w:rsidRPr="004D292B">
        <w:rPr>
          <w:rFonts w:cs="Times New Roman"/>
          <w:b/>
          <w:bCs/>
        </w:rPr>
        <w:t>Table 1</w:t>
      </w:r>
    </w:p>
    <w:p w14:paraId="597CC449" w14:textId="77777777" w:rsidR="009E444E" w:rsidRPr="004D292B" w:rsidRDefault="009E444E" w:rsidP="009E444E">
      <w:pPr>
        <w:pStyle w:val="Bibliography"/>
        <w:spacing w:line="240" w:lineRule="auto"/>
        <w:rPr>
          <w:i/>
          <w:iCs/>
        </w:rPr>
      </w:pPr>
      <w:r w:rsidRPr="004D292B">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583"/>
        <w:gridCol w:w="22"/>
        <w:gridCol w:w="752"/>
      </w:tblGrid>
      <w:tr w:rsidR="004D292B" w:rsidRPr="004D292B" w14:paraId="7B6895D8" w14:textId="77777777" w:rsidTr="00F824C8">
        <w:trPr>
          <w:trHeight w:val="720"/>
          <w:jc w:val="center"/>
        </w:trPr>
        <w:tc>
          <w:tcPr>
            <w:tcW w:w="2460" w:type="dxa"/>
            <w:vMerge w:val="restart"/>
          </w:tcPr>
          <w:p w14:paraId="2283052E" w14:textId="77777777" w:rsidR="009E444E" w:rsidRPr="004D292B" w:rsidRDefault="009E444E" w:rsidP="00F824C8">
            <w:pPr>
              <w:spacing w:line="240" w:lineRule="auto"/>
              <w:jc w:val="center"/>
              <w:rPr>
                <w:rFonts w:cs="Times New Roman"/>
              </w:rPr>
            </w:pPr>
            <w:r w:rsidRPr="004D292B">
              <w:rPr>
                <w:rFonts w:cs="Times New Roman"/>
              </w:rPr>
              <w:t>Domain</w:t>
            </w:r>
          </w:p>
        </w:tc>
        <w:tc>
          <w:tcPr>
            <w:tcW w:w="3292" w:type="dxa"/>
            <w:gridSpan w:val="2"/>
            <w:tcBorders>
              <w:bottom w:val="single" w:sz="4" w:space="0" w:color="auto"/>
            </w:tcBorders>
            <w:vAlign w:val="center"/>
          </w:tcPr>
          <w:p w14:paraId="176A7554" w14:textId="77777777" w:rsidR="009E444E" w:rsidRPr="004D292B" w:rsidRDefault="009E444E" w:rsidP="00F824C8">
            <w:pPr>
              <w:spacing w:line="240" w:lineRule="auto"/>
              <w:jc w:val="center"/>
              <w:rPr>
                <w:rFonts w:cs="Times New Roman"/>
              </w:rPr>
            </w:pPr>
            <w:r w:rsidRPr="004D292B">
              <w:rPr>
                <w:rFonts w:cs="Times New Roman"/>
              </w:rPr>
              <w:t>Stress (</w:t>
            </w:r>
            <w:r w:rsidRPr="004D292B">
              <w:rPr>
                <w:rFonts w:ascii="Cambria Math" w:hAnsi="Cambria Math" w:cs="Cambria Math"/>
              </w:rPr>
              <w:t>𝛾</w:t>
            </w:r>
            <w:r w:rsidRPr="004D292B">
              <w:rPr>
                <w:rFonts w:ascii="Cambria Math" w:hAnsi="Cambria Math" w:cs="Cambria Math"/>
                <w:vertAlign w:val="subscript"/>
              </w:rPr>
              <w:t>1</w:t>
            </w:r>
            <w:r w:rsidRPr="004D292B">
              <w:rPr>
                <w:rFonts w:cs="Times New Roman"/>
              </w:rPr>
              <w:t>)</w:t>
            </w:r>
          </w:p>
        </w:tc>
        <w:tc>
          <w:tcPr>
            <w:tcW w:w="3357" w:type="dxa"/>
            <w:gridSpan w:val="3"/>
            <w:tcBorders>
              <w:bottom w:val="single" w:sz="4" w:space="0" w:color="auto"/>
            </w:tcBorders>
            <w:vAlign w:val="center"/>
          </w:tcPr>
          <w:p w14:paraId="6A23D328" w14:textId="77777777" w:rsidR="009E444E" w:rsidRPr="004D292B" w:rsidRDefault="00CF037A" w:rsidP="00F824C8">
            <w:pPr>
              <w:spacing w:line="240" w:lineRule="auto"/>
              <w:jc w:val="center"/>
              <w:rPr>
                <w:rFonts w:cs="Times New Roman"/>
              </w:rPr>
            </w:pPr>
            <w:r w:rsidRPr="004D292B">
              <w:rPr>
                <w:rFonts w:cs="Times New Roman"/>
              </w:rPr>
              <w:t>Recovery (</w:t>
            </w:r>
            <w:r w:rsidRPr="004D292B">
              <w:rPr>
                <w:rFonts w:ascii="Cambria Math" w:hAnsi="Cambria Math" w:cs="Cambria Math"/>
              </w:rPr>
              <w:t>𝛾</w:t>
            </w:r>
            <w:r w:rsidRPr="004D292B">
              <w:rPr>
                <w:rFonts w:ascii="Cambria Math" w:hAnsi="Cambria Math" w:cs="Cambria Math"/>
                <w:vertAlign w:val="subscript"/>
              </w:rPr>
              <w:t>2</w:t>
            </w:r>
            <w:r w:rsidRPr="004D292B">
              <w:rPr>
                <w:rFonts w:cs="Times New Roman"/>
              </w:rPr>
              <w:t>)</w:t>
            </w:r>
          </w:p>
        </w:tc>
      </w:tr>
      <w:tr w:rsidR="004D292B" w:rsidRPr="004D292B" w14:paraId="2EC390F4" w14:textId="77777777" w:rsidTr="00F824C8">
        <w:trPr>
          <w:trHeight w:val="743"/>
          <w:jc w:val="center"/>
        </w:trPr>
        <w:tc>
          <w:tcPr>
            <w:tcW w:w="2460" w:type="dxa"/>
            <w:vMerge/>
            <w:tcBorders>
              <w:bottom w:val="single" w:sz="4" w:space="0" w:color="auto"/>
            </w:tcBorders>
          </w:tcPr>
          <w:p w14:paraId="76498A62" w14:textId="77777777" w:rsidR="009E444E" w:rsidRPr="004D292B" w:rsidRDefault="009E444E" w:rsidP="00F824C8">
            <w:pPr>
              <w:spacing w:line="240" w:lineRule="auto"/>
              <w:jc w:val="center"/>
              <w:rPr>
                <w:rFonts w:cs="Times New Roman"/>
                <w:iCs/>
              </w:rPr>
            </w:pPr>
          </w:p>
        </w:tc>
        <w:tc>
          <w:tcPr>
            <w:tcW w:w="2583" w:type="dxa"/>
            <w:tcBorders>
              <w:bottom w:val="single" w:sz="4" w:space="0" w:color="auto"/>
            </w:tcBorders>
            <w:vAlign w:val="center"/>
          </w:tcPr>
          <w:p w14:paraId="7E4EC8A9" w14:textId="77777777" w:rsidR="009E444E" w:rsidRPr="004D292B" w:rsidRDefault="009E444E" w:rsidP="00F824C8">
            <w:pPr>
              <w:spacing w:line="240" w:lineRule="auto"/>
              <w:jc w:val="center"/>
              <w:rPr>
                <w:rFonts w:cs="Times New Roman"/>
                <w:iCs/>
              </w:rPr>
            </w:pPr>
            <w:r w:rsidRPr="004D292B">
              <w:rPr>
                <w:rFonts w:cs="Times New Roman"/>
                <w:iCs/>
              </w:rPr>
              <w:t>Median [89% CrI]</w:t>
            </w:r>
          </w:p>
        </w:tc>
        <w:tc>
          <w:tcPr>
            <w:tcW w:w="709" w:type="dxa"/>
            <w:tcBorders>
              <w:bottom w:val="single" w:sz="4" w:space="0" w:color="auto"/>
            </w:tcBorders>
            <w:vAlign w:val="center"/>
          </w:tcPr>
          <w:p w14:paraId="2F74ED5D" w14:textId="77777777" w:rsidR="009E444E" w:rsidRPr="004D292B" w:rsidRDefault="00CC4A16" w:rsidP="00F824C8">
            <w:pPr>
              <w:spacing w:line="240" w:lineRule="auto"/>
              <w:jc w:val="center"/>
              <w:rPr>
                <w:rFonts w:cs="Times New Roman"/>
                <w:iCs/>
              </w:rPr>
            </w:pPr>
            <w:r w:rsidRPr="004D292B">
              <w:rPr>
                <w:rFonts w:cs="Times New Roman"/>
                <w:iCs/>
              </w:rPr>
              <w:t>pd</w:t>
            </w:r>
          </w:p>
        </w:tc>
        <w:tc>
          <w:tcPr>
            <w:tcW w:w="2583" w:type="dxa"/>
            <w:tcBorders>
              <w:bottom w:val="single" w:sz="4" w:space="0" w:color="auto"/>
            </w:tcBorders>
            <w:vAlign w:val="center"/>
          </w:tcPr>
          <w:p w14:paraId="33C2C6E7" w14:textId="77777777" w:rsidR="009E444E" w:rsidRPr="004D292B" w:rsidRDefault="009E444E" w:rsidP="00F824C8">
            <w:pPr>
              <w:spacing w:line="240" w:lineRule="auto"/>
              <w:jc w:val="center"/>
              <w:rPr>
                <w:rFonts w:cs="Times New Roman"/>
              </w:rPr>
            </w:pPr>
            <w:r w:rsidRPr="004D292B">
              <w:rPr>
                <w:rFonts w:cs="Times New Roman"/>
                <w:iCs/>
              </w:rPr>
              <w:t>Median [89% CrI]</w:t>
            </w:r>
          </w:p>
        </w:tc>
        <w:tc>
          <w:tcPr>
            <w:tcW w:w="774" w:type="dxa"/>
            <w:gridSpan w:val="2"/>
            <w:tcBorders>
              <w:bottom w:val="single" w:sz="4" w:space="0" w:color="auto"/>
            </w:tcBorders>
            <w:vAlign w:val="center"/>
          </w:tcPr>
          <w:p w14:paraId="525555A6" w14:textId="77777777" w:rsidR="009E444E" w:rsidRPr="004D292B" w:rsidRDefault="00CC4A16" w:rsidP="00CF037A">
            <w:pPr>
              <w:spacing w:line="240" w:lineRule="auto"/>
              <w:jc w:val="center"/>
              <w:rPr>
                <w:rFonts w:cs="Times New Roman"/>
              </w:rPr>
            </w:pPr>
            <w:r w:rsidRPr="004D292B">
              <w:rPr>
                <w:rFonts w:cs="Times New Roman"/>
              </w:rPr>
              <w:t>pd</w:t>
            </w:r>
          </w:p>
        </w:tc>
      </w:tr>
      <w:tr w:rsidR="004D292B" w:rsidRPr="004D292B" w14:paraId="5E3109CC" w14:textId="77777777" w:rsidTr="00CF037A">
        <w:trPr>
          <w:trHeight w:val="639"/>
          <w:jc w:val="center"/>
        </w:trPr>
        <w:tc>
          <w:tcPr>
            <w:tcW w:w="2460" w:type="dxa"/>
            <w:tcBorders>
              <w:bottom w:val="nil"/>
            </w:tcBorders>
            <w:vAlign w:val="center"/>
          </w:tcPr>
          <w:p w14:paraId="1F9CBDB4" w14:textId="77777777" w:rsidR="009E444E" w:rsidRPr="004D292B" w:rsidRDefault="009E444E" w:rsidP="00F824C8">
            <w:pPr>
              <w:spacing w:line="240" w:lineRule="auto"/>
              <w:jc w:val="center"/>
              <w:rPr>
                <w:rFonts w:cs="Times New Roman"/>
              </w:rPr>
            </w:pPr>
            <w:r w:rsidRPr="004D292B">
              <w:rPr>
                <w:rFonts w:cs="Times New Roman"/>
                <w:b/>
                <w:bCs/>
              </w:rPr>
              <w:t>Negative Affectivity</w:t>
            </w:r>
          </w:p>
        </w:tc>
        <w:tc>
          <w:tcPr>
            <w:tcW w:w="2583" w:type="dxa"/>
            <w:tcBorders>
              <w:bottom w:val="nil"/>
            </w:tcBorders>
            <w:vAlign w:val="center"/>
          </w:tcPr>
          <w:p w14:paraId="5B266CCB" w14:textId="77777777" w:rsidR="009E444E" w:rsidRPr="004D292B" w:rsidRDefault="009E444E" w:rsidP="00F824C8">
            <w:pPr>
              <w:spacing w:line="240" w:lineRule="auto"/>
              <w:jc w:val="center"/>
              <w:rPr>
                <w:rFonts w:cs="Times New Roman"/>
                <w:b/>
                <w:bCs/>
                <w:lang w:val="it-IT"/>
              </w:rPr>
            </w:pPr>
            <w:r w:rsidRPr="004D292B">
              <w:rPr>
                <w:rFonts w:cs="Times New Roman"/>
                <w:b/>
                <w:bCs/>
                <w:lang w:val="it-IT"/>
              </w:rPr>
              <w:t>3.14 [0.45, 5.84]</w:t>
            </w:r>
          </w:p>
        </w:tc>
        <w:tc>
          <w:tcPr>
            <w:tcW w:w="709" w:type="dxa"/>
            <w:tcBorders>
              <w:bottom w:val="nil"/>
            </w:tcBorders>
            <w:vAlign w:val="center"/>
          </w:tcPr>
          <w:p w14:paraId="6C288FBF" w14:textId="77777777" w:rsidR="009E444E" w:rsidRPr="004D292B" w:rsidRDefault="009E444E" w:rsidP="00F824C8">
            <w:pPr>
              <w:spacing w:line="240" w:lineRule="auto"/>
              <w:jc w:val="center"/>
              <w:rPr>
                <w:rFonts w:cs="Times New Roman"/>
                <w:b/>
                <w:bCs/>
                <w:lang w:val="it-IT"/>
              </w:rPr>
            </w:pPr>
            <w:r w:rsidRPr="004D292B">
              <w:rPr>
                <w:rFonts w:cs="Times New Roman"/>
                <w:b/>
                <w:bCs/>
                <w:lang w:val="it-IT"/>
              </w:rPr>
              <w:t>0.97</w:t>
            </w:r>
          </w:p>
        </w:tc>
        <w:tc>
          <w:tcPr>
            <w:tcW w:w="2605" w:type="dxa"/>
            <w:gridSpan w:val="2"/>
            <w:tcBorders>
              <w:bottom w:val="nil"/>
            </w:tcBorders>
            <w:vAlign w:val="center"/>
          </w:tcPr>
          <w:p w14:paraId="6B1F70B8" w14:textId="77777777" w:rsidR="009E444E" w:rsidRPr="004D292B" w:rsidRDefault="009E444E" w:rsidP="00F824C8">
            <w:pPr>
              <w:spacing w:line="240" w:lineRule="auto"/>
              <w:jc w:val="center"/>
              <w:rPr>
                <w:rFonts w:cs="Times New Roman"/>
                <w:lang w:val="it-IT"/>
              </w:rPr>
            </w:pPr>
            <w:r w:rsidRPr="004D292B">
              <w:rPr>
                <w:rFonts w:cs="Times New Roman"/>
                <w:lang w:val="it-IT"/>
              </w:rPr>
              <w:t>-0.45 [-3.11, 2.25]</w:t>
            </w:r>
          </w:p>
        </w:tc>
        <w:tc>
          <w:tcPr>
            <w:tcW w:w="752" w:type="dxa"/>
            <w:tcBorders>
              <w:bottom w:val="nil"/>
            </w:tcBorders>
            <w:vAlign w:val="center"/>
          </w:tcPr>
          <w:p w14:paraId="3034370F" w14:textId="77777777" w:rsidR="009E444E" w:rsidRPr="004D292B" w:rsidRDefault="009E444E" w:rsidP="00CF037A">
            <w:pPr>
              <w:spacing w:line="240" w:lineRule="auto"/>
              <w:jc w:val="center"/>
              <w:rPr>
                <w:rFonts w:cs="Times New Roman"/>
              </w:rPr>
            </w:pPr>
            <w:r w:rsidRPr="004D292B">
              <w:rPr>
                <w:rFonts w:cs="Times New Roman"/>
              </w:rPr>
              <w:t>0.60</w:t>
            </w:r>
          </w:p>
        </w:tc>
      </w:tr>
      <w:tr w:rsidR="004D292B" w:rsidRPr="004D292B" w14:paraId="72330DD8" w14:textId="77777777" w:rsidTr="00F824C8">
        <w:trPr>
          <w:trHeight w:val="319"/>
          <w:jc w:val="center"/>
        </w:trPr>
        <w:tc>
          <w:tcPr>
            <w:tcW w:w="2460" w:type="dxa"/>
            <w:tcBorders>
              <w:top w:val="nil"/>
              <w:bottom w:val="nil"/>
            </w:tcBorders>
            <w:vAlign w:val="center"/>
          </w:tcPr>
          <w:p w14:paraId="1A51BEAA" w14:textId="77777777" w:rsidR="009E444E" w:rsidRPr="004D292B" w:rsidRDefault="009E444E" w:rsidP="00F824C8">
            <w:pPr>
              <w:suppressLineNumbers/>
              <w:spacing w:after="0" w:line="240" w:lineRule="auto"/>
              <w:jc w:val="center"/>
              <w:rPr>
                <w:rFonts w:cs="Times New Roman"/>
              </w:rPr>
            </w:pPr>
            <w:r w:rsidRPr="004D292B">
              <w:rPr>
                <w:rFonts w:cs="Times New Roman"/>
              </w:rPr>
              <w:t>Detachment</w:t>
            </w:r>
          </w:p>
        </w:tc>
        <w:tc>
          <w:tcPr>
            <w:tcW w:w="2583" w:type="dxa"/>
            <w:tcBorders>
              <w:top w:val="nil"/>
              <w:bottom w:val="nil"/>
            </w:tcBorders>
            <w:vAlign w:val="center"/>
          </w:tcPr>
          <w:p w14:paraId="4D0C3448" w14:textId="77777777" w:rsidR="009E444E" w:rsidRPr="004D292B" w:rsidRDefault="009E444E" w:rsidP="00F824C8">
            <w:pPr>
              <w:spacing w:line="240" w:lineRule="auto"/>
              <w:jc w:val="center"/>
              <w:rPr>
                <w:rFonts w:cs="Times New Roman"/>
                <w:lang w:val="it-IT"/>
              </w:rPr>
            </w:pPr>
            <w:r w:rsidRPr="004D292B">
              <w:rPr>
                <w:rFonts w:cs="Times New Roman"/>
                <w:lang w:val="it-IT"/>
              </w:rPr>
              <w:t>-0.35 [-3.10, 2.38]</w:t>
            </w:r>
          </w:p>
        </w:tc>
        <w:tc>
          <w:tcPr>
            <w:tcW w:w="709" w:type="dxa"/>
            <w:tcBorders>
              <w:top w:val="nil"/>
              <w:bottom w:val="nil"/>
            </w:tcBorders>
            <w:vAlign w:val="center"/>
          </w:tcPr>
          <w:p w14:paraId="683E94A8" w14:textId="77777777" w:rsidR="009E444E" w:rsidRPr="004D292B" w:rsidRDefault="009E444E" w:rsidP="00F824C8">
            <w:pPr>
              <w:spacing w:line="240" w:lineRule="auto"/>
              <w:jc w:val="center"/>
              <w:rPr>
                <w:rFonts w:cs="Times New Roman"/>
                <w:lang w:val="it-IT"/>
              </w:rPr>
            </w:pPr>
            <w:r w:rsidRPr="004D292B">
              <w:rPr>
                <w:rFonts w:cs="Times New Roman"/>
                <w:lang w:val="it-IT"/>
              </w:rPr>
              <w:t>0.59</w:t>
            </w:r>
          </w:p>
        </w:tc>
        <w:tc>
          <w:tcPr>
            <w:tcW w:w="2583" w:type="dxa"/>
            <w:tcBorders>
              <w:top w:val="nil"/>
              <w:bottom w:val="nil"/>
            </w:tcBorders>
            <w:vAlign w:val="center"/>
          </w:tcPr>
          <w:p w14:paraId="43D9DD74" w14:textId="694735E2" w:rsidR="009E444E" w:rsidRPr="004D292B" w:rsidRDefault="009E444E" w:rsidP="00F824C8">
            <w:pPr>
              <w:spacing w:line="240" w:lineRule="auto"/>
              <w:jc w:val="center"/>
              <w:rPr>
                <w:rFonts w:cs="Times New Roman"/>
                <w:lang w:val="it-IT"/>
              </w:rPr>
            </w:pPr>
            <w:r w:rsidRPr="004D292B">
              <w:rPr>
                <w:rFonts w:cs="Times New Roman"/>
                <w:lang w:val="it-IT"/>
              </w:rPr>
              <w:t>-2.04 [-4.76, 0.73]</w:t>
            </w:r>
          </w:p>
        </w:tc>
        <w:tc>
          <w:tcPr>
            <w:tcW w:w="774" w:type="dxa"/>
            <w:gridSpan w:val="2"/>
            <w:tcBorders>
              <w:top w:val="nil"/>
              <w:bottom w:val="nil"/>
            </w:tcBorders>
            <w:vAlign w:val="center"/>
          </w:tcPr>
          <w:p w14:paraId="18117E9D" w14:textId="77777777" w:rsidR="009E444E" w:rsidRPr="004D292B" w:rsidRDefault="009E444E" w:rsidP="00CF037A">
            <w:pPr>
              <w:spacing w:line="240" w:lineRule="auto"/>
              <w:jc w:val="center"/>
              <w:rPr>
                <w:rFonts w:cs="Times New Roman"/>
              </w:rPr>
            </w:pPr>
            <w:r w:rsidRPr="004D292B">
              <w:rPr>
                <w:rFonts w:cs="Times New Roman"/>
              </w:rPr>
              <w:t>0.88</w:t>
            </w:r>
          </w:p>
        </w:tc>
      </w:tr>
      <w:tr w:rsidR="004D292B" w:rsidRPr="004D292B" w14:paraId="7FB52087" w14:textId="77777777" w:rsidTr="00F824C8">
        <w:trPr>
          <w:trHeight w:val="319"/>
          <w:jc w:val="center"/>
        </w:trPr>
        <w:tc>
          <w:tcPr>
            <w:tcW w:w="2460" w:type="dxa"/>
            <w:tcBorders>
              <w:top w:val="nil"/>
              <w:bottom w:val="nil"/>
            </w:tcBorders>
            <w:vAlign w:val="center"/>
          </w:tcPr>
          <w:p w14:paraId="2BA71C3E" w14:textId="77777777" w:rsidR="009E444E" w:rsidRPr="004D292B" w:rsidRDefault="009E444E" w:rsidP="00F824C8">
            <w:pPr>
              <w:suppressLineNumbers/>
              <w:spacing w:after="0" w:line="240" w:lineRule="auto"/>
              <w:jc w:val="center"/>
              <w:rPr>
                <w:rFonts w:cs="Times New Roman"/>
              </w:rPr>
            </w:pPr>
            <w:r w:rsidRPr="004D292B">
              <w:rPr>
                <w:rFonts w:cs="Times New Roman"/>
                <w:b/>
                <w:bCs/>
              </w:rPr>
              <w:t>Antagonism</w:t>
            </w:r>
          </w:p>
        </w:tc>
        <w:tc>
          <w:tcPr>
            <w:tcW w:w="2583" w:type="dxa"/>
            <w:tcBorders>
              <w:top w:val="nil"/>
              <w:bottom w:val="nil"/>
            </w:tcBorders>
            <w:vAlign w:val="center"/>
          </w:tcPr>
          <w:p w14:paraId="44F34B44" w14:textId="77777777" w:rsidR="009E444E" w:rsidRPr="004D292B" w:rsidRDefault="009E444E" w:rsidP="00F824C8">
            <w:pPr>
              <w:spacing w:line="240" w:lineRule="auto"/>
              <w:jc w:val="center"/>
              <w:rPr>
                <w:rFonts w:cs="Times New Roman"/>
                <w:lang w:val="it-IT"/>
              </w:rPr>
            </w:pPr>
            <w:r w:rsidRPr="004D292B">
              <w:rPr>
                <w:rFonts w:cs="Times New Roman"/>
                <w:lang w:val="it-IT"/>
              </w:rPr>
              <w:t>-0.09 [-2.70, 2.49]</w:t>
            </w:r>
          </w:p>
        </w:tc>
        <w:tc>
          <w:tcPr>
            <w:tcW w:w="709" w:type="dxa"/>
            <w:tcBorders>
              <w:top w:val="nil"/>
              <w:bottom w:val="nil"/>
            </w:tcBorders>
            <w:vAlign w:val="center"/>
          </w:tcPr>
          <w:p w14:paraId="449B5A40" w14:textId="77777777" w:rsidR="009E444E" w:rsidRPr="004D292B" w:rsidRDefault="009E444E" w:rsidP="00F824C8">
            <w:pPr>
              <w:spacing w:line="240" w:lineRule="auto"/>
              <w:jc w:val="center"/>
              <w:rPr>
                <w:rFonts w:cs="Times New Roman"/>
                <w:lang w:val="it-IT"/>
              </w:rPr>
            </w:pPr>
            <w:r w:rsidRPr="004D292B">
              <w:rPr>
                <w:rFonts w:cs="Times New Roman"/>
                <w:lang w:val="it-IT"/>
              </w:rPr>
              <w:t>0.52</w:t>
            </w:r>
          </w:p>
        </w:tc>
        <w:tc>
          <w:tcPr>
            <w:tcW w:w="2583" w:type="dxa"/>
            <w:tcBorders>
              <w:top w:val="nil"/>
              <w:bottom w:val="nil"/>
            </w:tcBorders>
            <w:vAlign w:val="center"/>
          </w:tcPr>
          <w:p w14:paraId="16E22E55" w14:textId="77777777" w:rsidR="009E444E" w:rsidRPr="004D292B" w:rsidRDefault="009E444E" w:rsidP="00F824C8">
            <w:pPr>
              <w:spacing w:line="240" w:lineRule="auto"/>
              <w:jc w:val="center"/>
              <w:rPr>
                <w:rFonts w:cs="Times New Roman"/>
                <w:lang w:val="it-IT"/>
              </w:rPr>
            </w:pPr>
            <w:r w:rsidRPr="004D292B">
              <w:rPr>
                <w:b/>
                <w:bCs/>
              </w:rPr>
              <w:t>3.16 [0.61, 5.76]</w:t>
            </w:r>
          </w:p>
        </w:tc>
        <w:tc>
          <w:tcPr>
            <w:tcW w:w="774" w:type="dxa"/>
            <w:gridSpan w:val="2"/>
            <w:tcBorders>
              <w:top w:val="nil"/>
              <w:bottom w:val="nil"/>
            </w:tcBorders>
            <w:vAlign w:val="center"/>
          </w:tcPr>
          <w:p w14:paraId="7E1827A0" w14:textId="77777777" w:rsidR="009E444E" w:rsidRPr="004D292B" w:rsidRDefault="009E444E" w:rsidP="00CF037A">
            <w:pPr>
              <w:spacing w:line="240" w:lineRule="auto"/>
              <w:jc w:val="center"/>
              <w:rPr>
                <w:rFonts w:cs="Times New Roman"/>
              </w:rPr>
            </w:pPr>
            <w:r w:rsidRPr="004D292B">
              <w:rPr>
                <w:b/>
                <w:bCs/>
              </w:rPr>
              <w:t>0.98</w:t>
            </w:r>
          </w:p>
        </w:tc>
      </w:tr>
      <w:tr w:rsidR="004D292B" w:rsidRPr="004D292B" w14:paraId="3152FDD7" w14:textId="77777777" w:rsidTr="00F824C8">
        <w:trPr>
          <w:trHeight w:val="674"/>
          <w:jc w:val="center"/>
        </w:trPr>
        <w:tc>
          <w:tcPr>
            <w:tcW w:w="2460" w:type="dxa"/>
            <w:tcBorders>
              <w:top w:val="nil"/>
              <w:bottom w:val="nil"/>
            </w:tcBorders>
          </w:tcPr>
          <w:p w14:paraId="62ADE18A" w14:textId="77777777" w:rsidR="009E444E" w:rsidRPr="004D292B" w:rsidRDefault="009E444E" w:rsidP="00F824C8">
            <w:pPr>
              <w:suppressLineNumbers/>
              <w:spacing w:after="0" w:line="240" w:lineRule="auto"/>
              <w:jc w:val="center"/>
              <w:rPr>
                <w:rFonts w:cs="Times New Roman"/>
              </w:rPr>
            </w:pPr>
            <w:r w:rsidRPr="004D292B">
              <w:rPr>
                <w:rFonts w:cs="Times New Roman"/>
              </w:rPr>
              <w:t>Disinhibition</w:t>
            </w:r>
          </w:p>
        </w:tc>
        <w:tc>
          <w:tcPr>
            <w:tcW w:w="2583" w:type="dxa"/>
            <w:tcBorders>
              <w:top w:val="nil"/>
              <w:bottom w:val="nil"/>
            </w:tcBorders>
          </w:tcPr>
          <w:p w14:paraId="43B246C5" w14:textId="77777777" w:rsidR="009E444E" w:rsidRPr="004D292B" w:rsidRDefault="009E444E" w:rsidP="00F824C8">
            <w:pPr>
              <w:spacing w:line="240" w:lineRule="auto"/>
              <w:jc w:val="center"/>
              <w:rPr>
                <w:rFonts w:cs="Times New Roman"/>
              </w:rPr>
            </w:pPr>
            <w:r w:rsidRPr="004D292B">
              <w:t>-0.21 [-3.16, 2.73]</w:t>
            </w:r>
          </w:p>
        </w:tc>
        <w:tc>
          <w:tcPr>
            <w:tcW w:w="709" w:type="dxa"/>
            <w:tcBorders>
              <w:top w:val="nil"/>
              <w:bottom w:val="nil"/>
            </w:tcBorders>
          </w:tcPr>
          <w:p w14:paraId="2951D307" w14:textId="77777777" w:rsidR="009E444E" w:rsidRPr="004D292B" w:rsidRDefault="009E444E" w:rsidP="00F824C8">
            <w:pPr>
              <w:spacing w:line="240" w:lineRule="auto"/>
              <w:jc w:val="center"/>
              <w:rPr>
                <w:rFonts w:cs="Times New Roman"/>
                <w:lang w:val="it-IT"/>
              </w:rPr>
            </w:pPr>
            <w:r w:rsidRPr="004D292B">
              <w:rPr>
                <w:rFonts w:cs="Times New Roman"/>
                <w:lang w:val="it-IT"/>
              </w:rPr>
              <w:t>0.54</w:t>
            </w:r>
          </w:p>
        </w:tc>
        <w:tc>
          <w:tcPr>
            <w:tcW w:w="2583" w:type="dxa"/>
            <w:tcBorders>
              <w:top w:val="nil"/>
              <w:bottom w:val="nil"/>
            </w:tcBorders>
          </w:tcPr>
          <w:p w14:paraId="431976C1" w14:textId="77777777" w:rsidR="009E444E" w:rsidRPr="004D292B" w:rsidRDefault="009E444E" w:rsidP="00F824C8">
            <w:pPr>
              <w:spacing w:line="240" w:lineRule="auto"/>
              <w:jc w:val="center"/>
              <w:rPr>
                <w:rFonts w:cs="Times New Roman"/>
              </w:rPr>
            </w:pPr>
            <w:r w:rsidRPr="004D292B">
              <w:t>-0.17 [-3.17, 2.77]</w:t>
            </w:r>
          </w:p>
        </w:tc>
        <w:tc>
          <w:tcPr>
            <w:tcW w:w="774" w:type="dxa"/>
            <w:gridSpan w:val="2"/>
            <w:tcBorders>
              <w:top w:val="nil"/>
              <w:bottom w:val="nil"/>
            </w:tcBorders>
          </w:tcPr>
          <w:p w14:paraId="42EDA154" w14:textId="77777777" w:rsidR="009E444E" w:rsidRPr="004D292B" w:rsidRDefault="009E444E" w:rsidP="00CF037A">
            <w:pPr>
              <w:spacing w:line="240" w:lineRule="auto"/>
              <w:jc w:val="center"/>
              <w:rPr>
                <w:rFonts w:cs="Times New Roman"/>
              </w:rPr>
            </w:pPr>
            <w:r w:rsidRPr="004D292B">
              <w:t>0.54</w:t>
            </w:r>
          </w:p>
        </w:tc>
      </w:tr>
      <w:tr w:rsidR="004D292B" w:rsidRPr="004D292B" w14:paraId="77E2481C" w14:textId="77777777" w:rsidTr="00F824C8">
        <w:trPr>
          <w:trHeight w:val="674"/>
          <w:jc w:val="center"/>
        </w:trPr>
        <w:tc>
          <w:tcPr>
            <w:tcW w:w="2460" w:type="dxa"/>
            <w:tcBorders>
              <w:top w:val="nil"/>
              <w:bottom w:val="single" w:sz="4" w:space="0" w:color="auto"/>
            </w:tcBorders>
          </w:tcPr>
          <w:p w14:paraId="57E0F147" w14:textId="77777777" w:rsidR="009E444E" w:rsidRPr="004D292B" w:rsidRDefault="009E444E" w:rsidP="00F824C8">
            <w:pPr>
              <w:suppressLineNumbers/>
              <w:spacing w:after="0" w:line="240" w:lineRule="auto"/>
              <w:jc w:val="center"/>
              <w:rPr>
                <w:rFonts w:cs="Times New Roman"/>
              </w:rPr>
            </w:pPr>
            <w:r w:rsidRPr="004D292B">
              <w:rPr>
                <w:rFonts w:cs="Times New Roman"/>
              </w:rPr>
              <w:t>Psychoticism</w:t>
            </w:r>
          </w:p>
        </w:tc>
        <w:tc>
          <w:tcPr>
            <w:tcW w:w="2583" w:type="dxa"/>
            <w:tcBorders>
              <w:top w:val="nil"/>
              <w:bottom w:val="single" w:sz="4" w:space="0" w:color="auto"/>
            </w:tcBorders>
          </w:tcPr>
          <w:p w14:paraId="6B951844" w14:textId="77777777" w:rsidR="009E444E" w:rsidRPr="004D292B" w:rsidRDefault="009E444E" w:rsidP="00F824C8">
            <w:pPr>
              <w:spacing w:line="240" w:lineRule="auto"/>
              <w:jc w:val="center"/>
            </w:pPr>
            <w:r w:rsidRPr="004D292B">
              <w:t>-0.25 [-3.00, 2.47]</w:t>
            </w:r>
          </w:p>
        </w:tc>
        <w:tc>
          <w:tcPr>
            <w:tcW w:w="709" w:type="dxa"/>
            <w:tcBorders>
              <w:top w:val="nil"/>
              <w:bottom w:val="single" w:sz="4" w:space="0" w:color="auto"/>
            </w:tcBorders>
          </w:tcPr>
          <w:p w14:paraId="51D0E2FC" w14:textId="6BEB0779" w:rsidR="009E444E" w:rsidRPr="004D292B" w:rsidRDefault="009E444E" w:rsidP="00F824C8">
            <w:pPr>
              <w:spacing w:line="240" w:lineRule="auto"/>
              <w:jc w:val="center"/>
              <w:rPr>
                <w:rFonts w:cs="Times New Roman"/>
                <w:lang w:val="it-IT"/>
              </w:rPr>
            </w:pPr>
            <w:r w:rsidRPr="004D292B">
              <w:rPr>
                <w:rFonts w:cs="Times New Roman"/>
                <w:lang w:val="it-IT"/>
              </w:rPr>
              <w:t>0.56</w:t>
            </w:r>
          </w:p>
        </w:tc>
        <w:tc>
          <w:tcPr>
            <w:tcW w:w="2583" w:type="dxa"/>
            <w:tcBorders>
              <w:top w:val="nil"/>
              <w:bottom w:val="single" w:sz="4" w:space="0" w:color="auto"/>
            </w:tcBorders>
          </w:tcPr>
          <w:p w14:paraId="55A0C82B" w14:textId="77777777" w:rsidR="009E444E" w:rsidRPr="004D292B" w:rsidRDefault="009E444E" w:rsidP="00F824C8">
            <w:pPr>
              <w:spacing w:line="240" w:lineRule="auto"/>
              <w:jc w:val="center"/>
            </w:pPr>
            <w:r w:rsidRPr="004D292B">
              <w:t>-1.42 [-4.15, 1.33]</w:t>
            </w:r>
          </w:p>
        </w:tc>
        <w:tc>
          <w:tcPr>
            <w:tcW w:w="774" w:type="dxa"/>
            <w:gridSpan w:val="2"/>
            <w:tcBorders>
              <w:top w:val="nil"/>
              <w:bottom w:val="single" w:sz="4" w:space="0" w:color="auto"/>
            </w:tcBorders>
          </w:tcPr>
          <w:p w14:paraId="142C05AC" w14:textId="77777777" w:rsidR="009E444E" w:rsidRPr="004D292B" w:rsidRDefault="009E444E" w:rsidP="00CF037A">
            <w:pPr>
              <w:spacing w:line="240" w:lineRule="auto"/>
              <w:jc w:val="center"/>
            </w:pPr>
            <w:r w:rsidRPr="004D292B">
              <w:t>0.80</w:t>
            </w:r>
          </w:p>
        </w:tc>
      </w:tr>
    </w:tbl>
    <w:p w14:paraId="3EF555F4" w14:textId="77777777" w:rsidR="009E444E" w:rsidRPr="004D292B" w:rsidRDefault="009E444E" w:rsidP="009E444E">
      <w:pPr>
        <w:spacing w:line="240" w:lineRule="auto"/>
        <w:jc w:val="both"/>
        <w:rPr>
          <w:rFonts w:cs="Times New Roman"/>
        </w:rPr>
      </w:pPr>
      <w:r w:rsidRPr="004D292B">
        <w:rPr>
          <w:rFonts w:cs="Times New Roman"/>
          <w:i/>
          <w:iCs/>
        </w:rPr>
        <w:t xml:space="preserve">Note. </w:t>
      </w:r>
      <w:r w:rsidRPr="004D292B">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1D673E69" w14:textId="77777777" w:rsidR="00DA485B" w:rsidRPr="004D292B" w:rsidRDefault="00DA485B">
      <w:pPr>
        <w:spacing w:before="0" w:after="200" w:line="240" w:lineRule="auto"/>
        <w:rPr>
          <w:b/>
          <w:bCs/>
        </w:rPr>
      </w:pPr>
      <w:r w:rsidRPr="004D292B">
        <w:rPr>
          <w:b/>
          <w:bCs/>
        </w:rPr>
        <w:br w:type="page"/>
      </w:r>
    </w:p>
    <w:p w14:paraId="49AA7CCE" w14:textId="77777777" w:rsidR="00DA485B" w:rsidRPr="004D292B" w:rsidRDefault="00DA485B" w:rsidP="00DA485B">
      <w:pPr>
        <w:spacing w:after="60"/>
      </w:pPr>
      <w:r w:rsidRPr="004D292B">
        <w:rPr>
          <w:rFonts w:eastAsia="Times New Roman"/>
          <w:b/>
        </w:rPr>
        <w:lastRenderedPageBreak/>
        <w:t>Table 2</w:t>
      </w:r>
    </w:p>
    <w:p w14:paraId="2C82B6AA" w14:textId="77777777" w:rsidR="00DA485B" w:rsidRPr="004D292B" w:rsidRDefault="00DA485B" w:rsidP="00DA485B">
      <w:pPr>
        <w:spacing w:after="160"/>
      </w:pPr>
      <w:r w:rsidRPr="004D292B">
        <w:rPr>
          <w:rFonts w:eastAsia="Times New Roman"/>
          <w:i/>
        </w:rPr>
        <w:t>Personality Moderation of Normalized Noise Energy (NNE)</w:t>
      </w:r>
    </w:p>
    <w:tbl>
      <w:tblPr>
        <w:tblW w:w="0" w:type="auto"/>
        <w:jc w:val="center"/>
        <w:tblLayout w:type="fixed"/>
        <w:tblLook w:val="04A0" w:firstRow="1" w:lastRow="0" w:firstColumn="1" w:lastColumn="0" w:noHBand="0" w:noVBand="1"/>
      </w:tblPr>
      <w:tblGrid>
        <w:gridCol w:w="2376"/>
        <w:gridCol w:w="2664"/>
        <w:gridCol w:w="720"/>
        <w:gridCol w:w="2664"/>
        <w:gridCol w:w="720"/>
      </w:tblGrid>
      <w:tr w:rsidR="004D292B" w:rsidRPr="004D292B" w14:paraId="60DB28EF" w14:textId="77777777" w:rsidTr="009A5251">
        <w:trPr>
          <w:tblHeader/>
          <w:jc w:val="center"/>
        </w:trPr>
        <w:tc>
          <w:tcPr>
            <w:tcW w:w="2376" w:type="dxa"/>
            <w:tcBorders>
              <w:top w:val="single" w:sz="8" w:space="0" w:color="000000"/>
              <w:left w:val="nil"/>
              <w:bottom w:val="nil"/>
              <w:right w:val="nil"/>
            </w:tcBorders>
            <w:tcMar>
              <w:top w:w="80" w:type="dxa"/>
              <w:left w:w="80" w:type="dxa"/>
              <w:bottom w:w="80" w:type="dxa"/>
              <w:right w:w="80" w:type="dxa"/>
            </w:tcMar>
            <w:vAlign w:val="center"/>
          </w:tcPr>
          <w:p w14:paraId="2DA66AB4" w14:textId="77777777" w:rsidR="00DA485B" w:rsidRPr="004D292B" w:rsidRDefault="00DA485B" w:rsidP="009A5251">
            <w:pPr>
              <w:spacing w:after="0"/>
            </w:pPr>
            <w:r w:rsidRPr="004D292B">
              <w:rPr>
                <w:rFonts w:eastAsia="Times New Roman"/>
                <w:b/>
              </w:rPr>
              <w:t>Domain</w:t>
            </w:r>
          </w:p>
        </w:tc>
        <w:tc>
          <w:tcPr>
            <w:tcW w:w="3384" w:type="dxa"/>
            <w:gridSpan w:val="2"/>
            <w:tcBorders>
              <w:top w:val="single" w:sz="8" w:space="0" w:color="000000"/>
              <w:left w:val="nil"/>
              <w:bottom w:val="nil"/>
              <w:right w:val="nil"/>
            </w:tcBorders>
            <w:tcMar>
              <w:top w:w="80" w:type="dxa"/>
              <w:left w:w="80" w:type="dxa"/>
              <w:bottom w:w="80" w:type="dxa"/>
              <w:right w:w="80" w:type="dxa"/>
            </w:tcMar>
            <w:vAlign w:val="center"/>
          </w:tcPr>
          <w:p w14:paraId="64585826" w14:textId="77777777" w:rsidR="00DA485B" w:rsidRPr="004D292B" w:rsidRDefault="00DA485B" w:rsidP="009A5251">
            <w:pPr>
              <w:spacing w:after="0"/>
              <w:jc w:val="center"/>
            </w:pPr>
            <w:r w:rsidRPr="004D292B">
              <w:rPr>
                <w:rFonts w:eastAsia="Times New Roman"/>
                <w:b/>
              </w:rPr>
              <w:t>Stress Moderation (γ1)</w:t>
            </w:r>
          </w:p>
        </w:tc>
        <w:tc>
          <w:tcPr>
            <w:tcW w:w="3384" w:type="dxa"/>
            <w:gridSpan w:val="2"/>
            <w:tcBorders>
              <w:top w:val="single" w:sz="8" w:space="0" w:color="000000"/>
              <w:left w:val="nil"/>
              <w:bottom w:val="nil"/>
              <w:right w:val="nil"/>
            </w:tcBorders>
            <w:tcMar>
              <w:top w:w="80" w:type="dxa"/>
              <w:left w:w="80" w:type="dxa"/>
              <w:bottom w:w="80" w:type="dxa"/>
              <w:right w:w="80" w:type="dxa"/>
            </w:tcMar>
            <w:vAlign w:val="center"/>
          </w:tcPr>
          <w:p w14:paraId="2C3AA510" w14:textId="77777777" w:rsidR="00DA485B" w:rsidRPr="004D292B" w:rsidRDefault="00DA485B" w:rsidP="009A5251">
            <w:pPr>
              <w:spacing w:after="0"/>
              <w:jc w:val="center"/>
            </w:pPr>
            <w:r w:rsidRPr="004D292B">
              <w:rPr>
                <w:rFonts w:eastAsia="Times New Roman"/>
                <w:b/>
              </w:rPr>
              <w:t>Recovery Moderation (γ2)</w:t>
            </w:r>
          </w:p>
        </w:tc>
      </w:tr>
      <w:tr w:rsidR="004D292B" w:rsidRPr="004D292B" w14:paraId="0E2C28A6" w14:textId="77777777" w:rsidTr="009A5251">
        <w:trPr>
          <w:tblHeader/>
          <w:jc w:val="center"/>
        </w:trPr>
        <w:tc>
          <w:tcPr>
            <w:tcW w:w="2376" w:type="dxa"/>
            <w:tcBorders>
              <w:top w:val="nil"/>
              <w:left w:val="nil"/>
              <w:bottom w:val="single" w:sz="6" w:space="0" w:color="000000"/>
              <w:right w:val="nil"/>
            </w:tcBorders>
            <w:tcMar>
              <w:top w:w="80" w:type="dxa"/>
              <w:left w:w="80" w:type="dxa"/>
              <w:bottom w:w="80" w:type="dxa"/>
              <w:right w:w="80" w:type="dxa"/>
            </w:tcMar>
            <w:vAlign w:val="center"/>
          </w:tcPr>
          <w:p w14:paraId="52BE35A9" w14:textId="77777777" w:rsidR="00DA485B" w:rsidRPr="004D292B" w:rsidRDefault="00DA485B" w:rsidP="009A5251">
            <w:pPr>
              <w:spacing w:after="0"/>
              <w:jc w:val="center"/>
            </w:pPr>
          </w:p>
        </w:tc>
        <w:tc>
          <w:tcPr>
            <w:tcW w:w="2664" w:type="dxa"/>
            <w:tcBorders>
              <w:top w:val="nil"/>
              <w:left w:val="nil"/>
              <w:bottom w:val="single" w:sz="6" w:space="0" w:color="000000"/>
              <w:right w:val="nil"/>
            </w:tcBorders>
            <w:tcMar>
              <w:top w:w="80" w:type="dxa"/>
              <w:left w:w="80" w:type="dxa"/>
              <w:bottom w:w="80" w:type="dxa"/>
              <w:right w:w="80" w:type="dxa"/>
            </w:tcMar>
            <w:vAlign w:val="center"/>
          </w:tcPr>
          <w:p w14:paraId="661D7041" w14:textId="77777777" w:rsidR="00DA485B" w:rsidRPr="004D292B" w:rsidRDefault="00DA485B" w:rsidP="009A5251">
            <w:pPr>
              <w:spacing w:after="0"/>
              <w:jc w:val="center"/>
            </w:pPr>
            <w:r w:rsidRPr="004D292B">
              <w:rPr>
                <w:rFonts w:eastAsia="Times New Roman"/>
                <w:b/>
              </w:rPr>
              <w:t xml:space="preserve">Median [89% </w:t>
            </w:r>
            <w:proofErr w:type="spellStart"/>
            <w:r w:rsidRPr="004D292B">
              <w:rPr>
                <w:rFonts w:eastAsia="Times New Roman"/>
                <w:b/>
              </w:rPr>
              <w:t>CrI</w:t>
            </w:r>
            <w:proofErr w:type="spellEnd"/>
            <w:r w:rsidRPr="004D292B">
              <w:rPr>
                <w:rFonts w:eastAsia="Times New Roman"/>
                <w:b/>
              </w:rPr>
              <w:t>]</w:t>
            </w:r>
          </w:p>
        </w:tc>
        <w:tc>
          <w:tcPr>
            <w:tcW w:w="720" w:type="dxa"/>
            <w:tcBorders>
              <w:top w:val="nil"/>
              <w:left w:val="nil"/>
              <w:bottom w:val="single" w:sz="6" w:space="0" w:color="000000"/>
              <w:right w:val="nil"/>
            </w:tcBorders>
            <w:tcMar>
              <w:top w:w="80" w:type="dxa"/>
              <w:left w:w="80" w:type="dxa"/>
              <w:bottom w:w="80" w:type="dxa"/>
              <w:right w:w="80" w:type="dxa"/>
            </w:tcMar>
            <w:vAlign w:val="center"/>
          </w:tcPr>
          <w:p w14:paraId="126861FB" w14:textId="77777777" w:rsidR="00DA485B" w:rsidRPr="004D292B" w:rsidRDefault="00DA485B" w:rsidP="009A5251">
            <w:pPr>
              <w:spacing w:after="0"/>
              <w:jc w:val="center"/>
            </w:pPr>
            <w:r w:rsidRPr="004D292B">
              <w:rPr>
                <w:rFonts w:eastAsia="Times New Roman"/>
                <w:b/>
              </w:rPr>
              <w:t>pd</w:t>
            </w:r>
          </w:p>
        </w:tc>
        <w:tc>
          <w:tcPr>
            <w:tcW w:w="2664" w:type="dxa"/>
            <w:tcBorders>
              <w:top w:val="nil"/>
              <w:left w:val="nil"/>
              <w:bottom w:val="single" w:sz="6" w:space="0" w:color="000000"/>
              <w:right w:val="nil"/>
            </w:tcBorders>
            <w:tcMar>
              <w:top w:w="80" w:type="dxa"/>
              <w:left w:w="80" w:type="dxa"/>
              <w:bottom w:w="80" w:type="dxa"/>
              <w:right w:w="80" w:type="dxa"/>
            </w:tcMar>
            <w:vAlign w:val="center"/>
          </w:tcPr>
          <w:p w14:paraId="49839108" w14:textId="77777777" w:rsidR="00DA485B" w:rsidRPr="004D292B" w:rsidRDefault="00DA485B" w:rsidP="009A5251">
            <w:pPr>
              <w:spacing w:after="0"/>
              <w:jc w:val="center"/>
            </w:pPr>
            <w:r w:rsidRPr="004D292B">
              <w:rPr>
                <w:rFonts w:eastAsia="Times New Roman"/>
                <w:b/>
              </w:rPr>
              <w:t xml:space="preserve">Median [89% </w:t>
            </w:r>
            <w:proofErr w:type="spellStart"/>
            <w:r w:rsidRPr="004D292B">
              <w:rPr>
                <w:rFonts w:eastAsia="Times New Roman"/>
                <w:b/>
              </w:rPr>
              <w:t>CrI</w:t>
            </w:r>
            <w:proofErr w:type="spellEnd"/>
            <w:r w:rsidRPr="004D292B">
              <w:rPr>
                <w:rFonts w:eastAsia="Times New Roman"/>
                <w:b/>
              </w:rPr>
              <w:t>]</w:t>
            </w:r>
          </w:p>
        </w:tc>
        <w:tc>
          <w:tcPr>
            <w:tcW w:w="720" w:type="dxa"/>
            <w:tcBorders>
              <w:top w:val="nil"/>
              <w:left w:val="nil"/>
              <w:bottom w:val="single" w:sz="6" w:space="0" w:color="000000"/>
              <w:right w:val="nil"/>
            </w:tcBorders>
            <w:tcMar>
              <w:top w:w="80" w:type="dxa"/>
              <w:left w:w="80" w:type="dxa"/>
              <w:bottom w:w="80" w:type="dxa"/>
              <w:right w:w="80" w:type="dxa"/>
            </w:tcMar>
            <w:vAlign w:val="center"/>
          </w:tcPr>
          <w:p w14:paraId="575FB83F" w14:textId="77777777" w:rsidR="00DA485B" w:rsidRPr="004D292B" w:rsidRDefault="00DA485B" w:rsidP="009A5251">
            <w:pPr>
              <w:spacing w:after="0"/>
              <w:jc w:val="center"/>
            </w:pPr>
            <w:r w:rsidRPr="004D292B">
              <w:rPr>
                <w:rFonts w:eastAsia="Times New Roman"/>
                <w:b/>
              </w:rPr>
              <w:t>pd</w:t>
            </w:r>
          </w:p>
        </w:tc>
      </w:tr>
      <w:tr w:rsidR="004D292B" w:rsidRPr="004D292B" w14:paraId="2862D89D"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4F202106" w14:textId="77777777" w:rsidR="00DA485B" w:rsidRPr="004D292B" w:rsidRDefault="00DA485B" w:rsidP="009A5251">
            <w:pPr>
              <w:spacing w:after="0"/>
            </w:pPr>
            <w:r w:rsidRPr="004D292B">
              <w:rPr>
                <w:rFonts w:eastAsia="Times New Roman"/>
              </w:rPr>
              <w:t>Negative Affectivity</w:t>
            </w:r>
          </w:p>
        </w:tc>
        <w:tc>
          <w:tcPr>
            <w:tcW w:w="2664" w:type="dxa"/>
            <w:tcBorders>
              <w:top w:val="nil"/>
              <w:left w:val="nil"/>
              <w:bottom w:val="nil"/>
              <w:right w:val="nil"/>
            </w:tcBorders>
            <w:tcMar>
              <w:top w:w="80" w:type="dxa"/>
              <w:left w:w="80" w:type="dxa"/>
              <w:bottom w:w="80" w:type="dxa"/>
              <w:right w:w="80" w:type="dxa"/>
            </w:tcMar>
            <w:vAlign w:val="center"/>
          </w:tcPr>
          <w:p w14:paraId="1E9FD047" w14:textId="77777777" w:rsidR="00DA485B" w:rsidRPr="004D292B" w:rsidRDefault="00DA485B" w:rsidP="009A5251">
            <w:pPr>
              <w:spacing w:after="0"/>
              <w:jc w:val="center"/>
            </w:pPr>
            <w:r w:rsidRPr="004D292B">
              <w:rPr>
                <w:rFonts w:eastAsia="Times New Roman"/>
              </w:rPr>
              <w:t>-0.46 [-1.27, 0.34]</w:t>
            </w:r>
          </w:p>
        </w:tc>
        <w:tc>
          <w:tcPr>
            <w:tcW w:w="720" w:type="dxa"/>
            <w:tcBorders>
              <w:top w:val="nil"/>
              <w:left w:val="nil"/>
              <w:bottom w:val="nil"/>
              <w:right w:val="nil"/>
            </w:tcBorders>
            <w:tcMar>
              <w:top w:w="80" w:type="dxa"/>
              <w:left w:w="80" w:type="dxa"/>
              <w:bottom w:w="80" w:type="dxa"/>
              <w:right w:w="80" w:type="dxa"/>
            </w:tcMar>
            <w:vAlign w:val="center"/>
          </w:tcPr>
          <w:p w14:paraId="7405F940" w14:textId="77777777" w:rsidR="00DA485B" w:rsidRPr="004D292B" w:rsidRDefault="00DA485B" w:rsidP="009A5251">
            <w:pPr>
              <w:spacing w:after="0"/>
              <w:jc w:val="center"/>
            </w:pPr>
            <w:r w:rsidRPr="004D292B">
              <w:rPr>
                <w:rFonts w:eastAsia="Times New Roman"/>
              </w:rPr>
              <w:t>0.83</w:t>
            </w:r>
          </w:p>
        </w:tc>
        <w:tc>
          <w:tcPr>
            <w:tcW w:w="2664" w:type="dxa"/>
            <w:tcBorders>
              <w:top w:val="nil"/>
              <w:left w:val="nil"/>
              <w:bottom w:val="nil"/>
              <w:right w:val="nil"/>
            </w:tcBorders>
            <w:tcMar>
              <w:top w:w="80" w:type="dxa"/>
              <w:left w:w="80" w:type="dxa"/>
              <w:bottom w:w="80" w:type="dxa"/>
              <w:right w:w="80" w:type="dxa"/>
            </w:tcMar>
            <w:vAlign w:val="center"/>
          </w:tcPr>
          <w:p w14:paraId="2437F4B4" w14:textId="77777777" w:rsidR="00DA485B" w:rsidRPr="004D292B" w:rsidRDefault="00DA485B" w:rsidP="009A5251">
            <w:pPr>
              <w:spacing w:after="0"/>
              <w:jc w:val="center"/>
            </w:pPr>
            <w:r w:rsidRPr="004D292B">
              <w:rPr>
                <w:rFonts w:eastAsia="Times New Roman"/>
              </w:rPr>
              <w:t>-0.39 [-1.19, 0.41]</w:t>
            </w:r>
          </w:p>
        </w:tc>
        <w:tc>
          <w:tcPr>
            <w:tcW w:w="720" w:type="dxa"/>
            <w:tcBorders>
              <w:top w:val="nil"/>
              <w:left w:val="nil"/>
              <w:bottom w:val="nil"/>
              <w:right w:val="nil"/>
            </w:tcBorders>
            <w:tcMar>
              <w:top w:w="80" w:type="dxa"/>
              <w:left w:w="80" w:type="dxa"/>
              <w:bottom w:w="80" w:type="dxa"/>
              <w:right w:w="80" w:type="dxa"/>
            </w:tcMar>
            <w:vAlign w:val="center"/>
          </w:tcPr>
          <w:p w14:paraId="11B358D0" w14:textId="77777777" w:rsidR="00DA485B" w:rsidRPr="004D292B" w:rsidRDefault="00DA485B" w:rsidP="009A5251">
            <w:pPr>
              <w:spacing w:after="0"/>
              <w:jc w:val="center"/>
            </w:pPr>
            <w:r w:rsidRPr="004D292B">
              <w:rPr>
                <w:rFonts w:eastAsia="Times New Roman"/>
              </w:rPr>
              <w:t>0.78</w:t>
            </w:r>
          </w:p>
        </w:tc>
      </w:tr>
      <w:tr w:rsidR="004D292B" w:rsidRPr="004D292B" w14:paraId="3517EB77"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731CC996" w14:textId="77777777" w:rsidR="00DA485B" w:rsidRPr="004D292B" w:rsidRDefault="00DA485B" w:rsidP="009A5251">
            <w:pPr>
              <w:spacing w:after="0"/>
            </w:pPr>
            <w:r w:rsidRPr="004D292B">
              <w:rPr>
                <w:rFonts w:eastAsia="Times New Roman"/>
              </w:rPr>
              <w:t>Detachment</w:t>
            </w:r>
          </w:p>
        </w:tc>
        <w:tc>
          <w:tcPr>
            <w:tcW w:w="2664" w:type="dxa"/>
            <w:tcBorders>
              <w:top w:val="nil"/>
              <w:left w:val="nil"/>
              <w:bottom w:val="nil"/>
              <w:right w:val="nil"/>
            </w:tcBorders>
            <w:tcMar>
              <w:top w:w="80" w:type="dxa"/>
              <w:left w:w="80" w:type="dxa"/>
              <w:bottom w:w="80" w:type="dxa"/>
              <w:right w:w="80" w:type="dxa"/>
            </w:tcMar>
            <w:vAlign w:val="center"/>
          </w:tcPr>
          <w:p w14:paraId="326E756E" w14:textId="77777777" w:rsidR="00DA485B" w:rsidRPr="004D292B" w:rsidRDefault="00DA485B" w:rsidP="009A5251">
            <w:pPr>
              <w:spacing w:after="0"/>
              <w:jc w:val="center"/>
            </w:pPr>
            <w:r w:rsidRPr="004D292B">
              <w:rPr>
                <w:rFonts w:eastAsia="Times New Roman"/>
              </w:rPr>
              <w:t>0.30 [-0.52, 1.12]</w:t>
            </w:r>
          </w:p>
        </w:tc>
        <w:tc>
          <w:tcPr>
            <w:tcW w:w="720" w:type="dxa"/>
            <w:tcBorders>
              <w:top w:val="nil"/>
              <w:left w:val="nil"/>
              <w:bottom w:val="nil"/>
              <w:right w:val="nil"/>
            </w:tcBorders>
            <w:tcMar>
              <w:top w:w="80" w:type="dxa"/>
              <w:left w:w="80" w:type="dxa"/>
              <w:bottom w:w="80" w:type="dxa"/>
              <w:right w:w="80" w:type="dxa"/>
            </w:tcMar>
            <w:vAlign w:val="center"/>
          </w:tcPr>
          <w:p w14:paraId="529BD30E" w14:textId="77777777" w:rsidR="00DA485B" w:rsidRPr="004D292B" w:rsidRDefault="00DA485B" w:rsidP="009A5251">
            <w:pPr>
              <w:spacing w:after="0"/>
              <w:jc w:val="center"/>
            </w:pPr>
            <w:r w:rsidRPr="004D292B">
              <w:rPr>
                <w:rFonts w:eastAsia="Times New Roman"/>
              </w:rPr>
              <w:t>0.72</w:t>
            </w:r>
          </w:p>
        </w:tc>
        <w:tc>
          <w:tcPr>
            <w:tcW w:w="2664" w:type="dxa"/>
            <w:tcBorders>
              <w:top w:val="nil"/>
              <w:left w:val="nil"/>
              <w:bottom w:val="nil"/>
              <w:right w:val="nil"/>
            </w:tcBorders>
            <w:tcMar>
              <w:top w:w="80" w:type="dxa"/>
              <w:left w:w="80" w:type="dxa"/>
              <w:bottom w:w="80" w:type="dxa"/>
              <w:right w:w="80" w:type="dxa"/>
            </w:tcMar>
            <w:vAlign w:val="center"/>
          </w:tcPr>
          <w:p w14:paraId="3EFC8E9C" w14:textId="77777777" w:rsidR="00DA485B" w:rsidRPr="004D292B" w:rsidRDefault="00DA485B" w:rsidP="009A5251">
            <w:pPr>
              <w:spacing w:after="0"/>
              <w:jc w:val="center"/>
            </w:pPr>
            <w:r w:rsidRPr="004D292B">
              <w:rPr>
                <w:rFonts w:eastAsia="Times New Roman"/>
              </w:rPr>
              <w:t>0.22 [-0.61, 1.04]</w:t>
            </w:r>
          </w:p>
        </w:tc>
        <w:tc>
          <w:tcPr>
            <w:tcW w:w="720" w:type="dxa"/>
            <w:tcBorders>
              <w:top w:val="nil"/>
              <w:left w:val="nil"/>
              <w:bottom w:val="nil"/>
              <w:right w:val="nil"/>
            </w:tcBorders>
            <w:tcMar>
              <w:top w:w="80" w:type="dxa"/>
              <w:left w:w="80" w:type="dxa"/>
              <w:bottom w:w="80" w:type="dxa"/>
              <w:right w:w="80" w:type="dxa"/>
            </w:tcMar>
            <w:vAlign w:val="center"/>
          </w:tcPr>
          <w:p w14:paraId="79F7DE4B" w14:textId="77777777" w:rsidR="00DA485B" w:rsidRPr="004D292B" w:rsidRDefault="00DA485B" w:rsidP="009A5251">
            <w:pPr>
              <w:spacing w:after="0"/>
              <w:jc w:val="center"/>
            </w:pPr>
            <w:r w:rsidRPr="004D292B">
              <w:rPr>
                <w:rFonts w:eastAsia="Times New Roman"/>
              </w:rPr>
              <w:t>0.66</w:t>
            </w:r>
          </w:p>
        </w:tc>
      </w:tr>
      <w:tr w:rsidR="004D292B" w:rsidRPr="004D292B" w14:paraId="0460FF02"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71B1169C" w14:textId="77777777" w:rsidR="00DA485B" w:rsidRPr="004D292B" w:rsidRDefault="00DA485B" w:rsidP="009A5251">
            <w:pPr>
              <w:spacing w:after="0"/>
            </w:pPr>
            <w:r w:rsidRPr="004D292B">
              <w:rPr>
                <w:rFonts w:eastAsia="Times New Roman"/>
              </w:rPr>
              <w:t>Antagonism</w:t>
            </w:r>
          </w:p>
        </w:tc>
        <w:tc>
          <w:tcPr>
            <w:tcW w:w="2664" w:type="dxa"/>
            <w:tcBorders>
              <w:top w:val="nil"/>
              <w:left w:val="nil"/>
              <w:bottom w:val="nil"/>
              <w:right w:val="nil"/>
            </w:tcBorders>
            <w:tcMar>
              <w:top w:w="80" w:type="dxa"/>
              <w:left w:w="80" w:type="dxa"/>
              <w:bottom w:w="80" w:type="dxa"/>
              <w:right w:w="80" w:type="dxa"/>
            </w:tcMar>
            <w:vAlign w:val="center"/>
          </w:tcPr>
          <w:p w14:paraId="31BD4B78" w14:textId="77777777" w:rsidR="00DA485B" w:rsidRPr="004D292B" w:rsidRDefault="00DA485B" w:rsidP="009A5251">
            <w:pPr>
              <w:spacing w:after="0"/>
              <w:jc w:val="center"/>
            </w:pPr>
            <w:r w:rsidRPr="004D292B">
              <w:rPr>
                <w:rFonts w:eastAsia="Times New Roman"/>
              </w:rPr>
              <w:t>-0.02 [-0.76, 0.74]</w:t>
            </w:r>
          </w:p>
        </w:tc>
        <w:tc>
          <w:tcPr>
            <w:tcW w:w="720" w:type="dxa"/>
            <w:tcBorders>
              <w:top w:val="nil"/>
              <w:left w:val="nil"/>
              <w:bottom w:val="nil"/>
              <w:right w:val="nil"/>
            </w:tcBorders>
            <w:tcMar>
              <w:top w:w="80" w:type="dxa"/>
              <w:left w:w="80" w:type="dxa"/>
              <w:bottom w:w="80" w:type="dxa"/>
              <w:right w:w="80" w:type="dxa"/>
            </w:tcMar>
            <w:vAlign w:val="center"/>
          </w:tcPr>
          <w:p w14:paraId="46050A8B" w14:textId="77777777" w:rsidR="00DA485B" w:rsidRPr="004D292B" w:rsidRDefault="00DA485B" w:rsidP="009A5251">
            <w:pPr>
              <w:spacing w:after="0"/>
              <w:jc w:val="center"/>
            </w:pPr>
            <w:r w:rsidRPr="004D292B">
              <w:rPr>
                <w:rFonts w:eastAsia="Times New Roman"/>
              </w:rPr>
              <w:t>0.51</w:t>
            </w:r>
          </w:p>
        </w:tc>
        <w:tc>
          <w:tcPr>
            <w:tcW w:w="2664" w:type="dxa"/>
            <w:tcBorders>
              <w:top w:val="nil"/>
              <w:left w:val="nil"/>
              <w:bottom w:val="nil"/>
              <w:right w:val="nil"/>
            </w:tcBorders>
            <w:tcMar>
              <w:top w:w="80" w:type="dxa"/>
              <w:left w:w="80" w:type="dxa"/>
              <w:bottom w:w="80" w:type="dxa"/>
              <w:right w:w="80" w:type="dxa"/>
            </w:tcMar>
            <w:vAlign w:val="center"/>
          </w:tcPr>
          <w:p w14:paraId="4A724911" w14:textId="77777777" w:rsidR="00DA485B" w:rsidRPr="004D292B" w:rsidRDefault="00DA485B" w:rsidP="009A5251">
            <w:pPr>
              <w:spacing w:after="0"/>
              <w:jc w:val="center"/>
            </w:pPr>
            <w:r w:rsidRPr="004D292B">
              <w:rPr>
                <w:rFonts w:eastAsia="Times New Roman"/>
              </w:rPr>
              <w:t>-0.43 [-1.18, 0.33]</w:t>
            </w:r>
          </w:p>
        </w:tc>
        <w:tc>
          <w:tcPr>
            <w:tcW w:w="720" w:type="dxa"/>
            <w:tcBorders>
              <w:top w:val="nil"/>
              <w:left w:val="nil"/>
              <w:bottom w:val="nil"/>
              <w:right w:val="nil"/>
            </w:tcBorders>
            <w:tcMar>
              <w:top w:w="80" w:type="dxa"/>
              <w:left w:w="80" w:type="dxa"/>
              <w:bottom w:w="80" w:type="dxa"/>
              <w:right w:w="80" w:type="dxa"/>
            </w:tcMar>
            <w:vAlign w:val="center"/>
          </w:tcPr>
          <w:p w14:paraId="1D69F176" w14:textId="77777777" w:rsidR="00DA485B" w:rsidRPr="004D292B" w:rsidRDefault="00DA485B" w:rsidP="009A5251">
            <w:pPr>
              <w:spacing w:after="0"/>
              <w:jc w:val="center"/>
            </w:pPr>
            <w:r w:rsidRPr="004D292B">
              <w:rPr>
                <w:rFonts w:eastAsia="Times New Roman"/>
              </w:rPr>
              <w:t>0.82</w:t>
            </w:r>
          </w:p>
        </w:tc>
      </w:tr>
      <w:tr w:rsidR="004D292B" w:rsidRPr="004D292B" w14:paraId="506AC832" w14:textId="77777777" w:rsidTr="009A5251">
        <w:trPr>
          <w:jc w:val="center"/>
        </w:trPr>
        <w:tc>
          <w:tcPr>
            <w:tcW w:w="2376" w:type="dxa"/>
            <w:tcBorders>
              <w:top w:val="nil"/>
              <w:left w:val="nil"/>
              <w:bottom w:val="nil"/>
              <w:right w:val="nil"/>
            </w:tcBorders>
            <w:tcMar>
              <w:top w:w="80" w:type="dxa"/>
              <w:left w:w="80" w:type="dxa"/>
              <w:bottom w:w="80" w:type="dxa"/>
              <w:right w:w="80" w:type="dxa"/>
            </w:tcMar>
            <w:vAlign w:val="center"/>
          </w:tcPr>
          <w:p w14:paraId="1823999D" w14:textId="77777777" w:rsidR="00DA485B" w:rsidRPr="004D292B" w:rsidRDefault="00DA485B" w:rsidP="009A5251">
            <w:pPr>
              <w:spacing w:after="0"/>
            </w:pPr>
            <w:r w:rsidRPr="004D292B">
              <w:rPr>
                <w:rFonts w:eastAsia="Times New Roman"/>
              </w:rPr>
              <w:t>Disinhibition</w:t>
            </w:r>
          </w:p>
        </w:tc>
        <w:tc>
          <w:tcPr>
            <w:tcW w:w="2664" w:type="dxa"/>
            <w:tcBorders>
              <w:top w:val="nil"/>
              <w:left w:val="nil"/>
              <w:bottom w:val="nil"/>
              <w:right w:val="nil"/>
            </w:tcBorders>
            <w:tcMar>
              <w:top w:w="80" w:type="dxa"/>
              <w:left w:w="80" w:type="dxa"/>
              <w:bottom w:w="80" w:type="dxa"/>
              <w:right w:w="80" w:type="dxa"/>
            </w:tcMar>
            <w:vAlign w:val="center"/>
          </w:tcPr>
          <w:p w14:paraId="28C8E41E" w14:textId="77777777" w:rsidR="00DA485B" w:rsidRPr="004D292B" w:rsidRDefault="00DA485B" w:rsidP="009A5251">
            <w:pPr>
              <w:spacing w:after="0"/>
              <w:jc w:val="center"/>
            </w:pPr>
            <w:r w:rsidRPr="004D292B">
              <w:rPr>
                <w:rFonts w:eastAsia="Times New Roman"/>
              </w:rPr>
              <w:t>0.32 [-0.64, 1.27]</w:t>
            </w:r>
          </w:p>
        </w:tc>
        <w:tc>
          <w:tcPr>
            <w:tcW w:w="720" w:type="dxa"/>
            <w:tcBorders>
              <w:top w:val="nil"/>
              <w:left w:val="nil"/>
              <w:bottom w:val="nil"/>
              <w:right w:val="nil"/>
            </w:tcBorders>
            <w:tcMar>
              <w:top w:w="80" w:type="dxa"/>
              <w:left w:w="80" w:type="dxa"/>
              <w:bottom w:w="80" w:type="dxa"/>
              <w:right w:w="80" w:type="dxa"/>
            </w:tcMar>
            <w:vAlign w:val="center"/>
          </w:tcPr>
          <w:p w14:paraId="3DE422B3" w14:textId="77777777" w:rsidR="00DA485B" w:rsidRPr="004D292B" w:rsidRDefault="00DA485B" w:rsidP="009A5251">
            <w:pPr>
              <w:spacing w:after="0"/>
              <w:jc w:val="center"/>
            </w:pPr>
            <w:r w:rsidRPr="004D292B">
              <w:rPr>
                <w:rFonts w:eastAsia="Times New Roman"/>
              </w:rPr>
              <w:t>0.71</w:t>
            </w:r>
          </w:p>
        </w:tc>
        <w:tc>
          <w:tcPr>
            <w:tcW w:w="2664" w:type="dxa"/>
            <w:tcBorders>
              <w:top w:val="nil"/>
              <w:left w:val="nil"/>
              <w:bottom w:val="nil"/>
              <w:right w:val="nil"/>
            </w:tcBorders>
            <w:tcMar>
              <w:top w:w="80" w:type="dxa"/>
              <w:left w:w="80" w:type="dxa"/>
              <w:bottom w:w="80" w:type="dxa"/>
              <w:right w:w="80" w:type="dxa"/>
            </w:tcMar>
            <w:vAlign w:val="center"/>
          </w:tcPr>
          <w:p w14:paraId="7413F1A9" w14:textId="77777777" w:rsidR="00DA485B" w:rsidRPr="004D292B" w:rsidRDefault="00DA485B" w:rsidP="009A5251">
            <w:pPr>
              <w:spacing w:after="0"/>
              <w:jc w:val="center"/>
            </w:pPr>
            <w:r w:rsidRPr="004D292B">
              <w:rPr>
                <w:rFonts w:eastAsia="Times New Roman"/>
              </w:rPr>
              <w:t>-0.40 [-1.34, 0.56]</w:t>
            </w:r>
          </w:p>
        </w:tc>
        <w:tc>
          <w:tcPr>
            <w:tcW w:w="720" w:type="dxa"/>
            <w:tcBorders>
              <w:top w:val="nil"/>
              <w:left w:val="nil"/>
              <w:bottom w:val="nil"/>
              <w:right w:val="nil"/>
            </w:tcBorders>
            <w:tcMar>
              <w:top w:w="80" w:type="dxa"/>
              <w:left w:w="80" w:type="dxa"/>
              <w:bottom w:w="80" w:type="dxa"/>
              <w:right w:w="80" w:type="dxa"/>
            </w:tcMar>
            <w:vAlign w:val="center"/>
          </w:tcPr>
          <w:p w14:paraId="3C2AC8EC" w14:textId="77777777" w:rsidR="00DA485B" w:rsidRPr="004D292B" w:rsidRDefault="00DA485B" w:rsidP="009A5251">
            <w:pPr>
              <w:spacing w:after="0"/>
              <w:jc w:val="center"/>
            </w:pPr>
            <w:r w:rsidRPr="004D292B">
              <w:rPr>
                <w:rFonts w:eastAsia="Times New Roman"/>
              </w:rPr>
              <w:t>0.74</w:t>
            </w:r>
          </w:p>
        </w:tc>
      </w:tr>
      <w:tr w:rsidR="004D292B" w:rsidRPr="004D292B" w14:paraId="25FF1D6A" w14:textId="77777777" w:rsidTr="009A5251">
        <w:trPr>
          <w:jc w:val="center"/>
        </w:trPr>
        <w:tc>
          <w:tcPr>
            <w:tcW w:w="2376" w:type="dxa"/>
            <w:tcBorders>
              <w:top w:val="nil"/>
              <w:left w:val="nil"/>
              <w:bottom w:val="single" w:sz="8" w:space="0" w:color="000000"/>
              <w:right w:val="nil"/>
            </w:tcBorders>
            <w:tcMar>
              <w:top w:w="80" w:type="dxa"/>
              <w:left w:w="80" w:type="dxa"/>
              <w:bottom w:w="80" w:type="dxa"/>
              <w:right w:w="80" w:type="dxa"/>
            </w:tcMar>
            <w:vAlign w:val="center"/>
          </w:tcPr>
          <w:p w14:paraId="2B8F046D" w14:textId="77777777" w:rsidR="00DA485B" w:rsidRPr="004D292B" w:rsidRDefault="00DA485B" w:rsidP="009A5251">
            <w:pPr>
              <w:spacing w:after="0"/>
            </w:pPr>
            <w:r w:rsidRPr="004D292B">
              <w:rPr>
                <w:rFonts w:eastAsia="Times New Roman"/>
              </w:rPr>
              <w:t>Psychoticism</w:t>
            </w:r>
          </w:p>
        </w:tc>
        <w:tc>
          <w:tcPr>
            <w:tcW w:w="2664" w:type="dxa"/>
            <w:tcBorders>
              <w:top w:val="nil"/>
              <w:left w:val="nil"/>
              <w:bottom w:val="single" w:sz="8" w:space="0" w:color="000000"/>
              <w:right w:val="nil"/>
            </w:tcBorders>
            <w:tcMar>
              <w:top w:w="80" w:type="dxa"/>
              <w:left w:w="80" w:type="dxa"/>
              <w:bottom w:w="80" w:type="dxa"/>
              <w:right w:w="80" w:type="dxa"/>
            </w:tcMar>
            <w:vAlign w:val="center"/>
          </w:tcPr>
          <w:p w14:paraId="28A99068" w14:textId="77777777" w:rsidR="00DA485B" w:rsidRPr="004D292B" w:rsidRDefault="00DA485B" w:rsidP="009A5251">
            <w:pPr>
              <w:spacing w:after="0"/>
              <w:jc w:val="center"/>
            </w:pPr>
            <w:r w:rsidRPr="004D292B">
              <w:rPr>
                <w:rFonts w:eastAsia="Times New Roman"/>
              </w:rPr>
              <w:t>-0.02 [-0.83, 0.79]</w:t>
            </w:r>
          </w:p>
        </w:tc>
        <w:tc>
          <w:tcPr>
            <w:tcW w:w="720" w:type="dxa"/>
            <w:tcBorders>
              <w:top w:val="nil"/>
              <w:left w:val="nil"/>
              <w:bottom w:val="single" w:sz="8" w:space="0" w:color="000000"/>
              <w:right w:val="nil"/>
            </w:tcBorders>
            <w:tcMar>
              <w:top w:w="80" w:type="dxa"/>
              <w:left w:w="80" w:type="dxa"/>
              <w:bottom w:w="80" w:type="dxa"/>
              <w:right w:w="80" w:type="dxa"/>
            </w:tcMar>
            <w:vAlign w:val="center"/>
          </w:tcPr>
          <w:p w14:paraId="0C15B236" w14:textId="77777777" w:rsidR="00DA485B" w:rsidRPr="004D292B" w:rsidRDefault="00DA485B" w:rsidP="009A5251">
            <w:pPr>
              <w:spacing w:after="0"/>
              <w:jc w:val="center"/>
            </w:pPr>
            <w:r w:rsidRPr="004D292B">
              <w:rPr>
                <w:rFonts w:eastAsia="Times New Roman"/>
              </w:rPr>
              <w:t>0.52</w:t>
            </w:r>
          </w:p>
        </w:tc>
        <w:tc>
          <w:tcPr>
            <w:tcW w:w="2664" w:type="dxa"/>
            <w:tcBorders>
              <w:top w:val="nil"/>
              <w:left w:val="nil"/>
              <w:bottom w:val="single" w:sz="8" w:space="0" w:color="000000"/>
              <w:right w:val="nil"/>
            </w:tcBorders>
            <w:tcMar>
              <w:top w:w="80" w:type="dxa"/>
              <w:left w:w="80" w:type="dxa"/>
              <w:bottom w:w="80" w:type="dxa"/>
              <w:right w:w="80" w:type="dxa"/>
            </w:tcMar>
            <w:vAlign w:val="center"/>
          </w:tcPr>
          <w:p w14:paraId="37627F95" w14:textId="77777777" w:rsidR="00DA485B" w:rsidRPr="004D292B" w:rsidRDefault="00DA485B" w:rsidP="009A5251">
            <w:pPr>
              <w:spacing w:after="0"/>
              <w:jc w:val="center"/>
            </w:pPr>
            <w:r w:rsidRPr="004D292B">
              <w:rPr>
                <w:rFonts w:eastAsia="Times New Roman"/>
              </w:rPr>
              <w:t>0.88 [0.07, 1.68]</w:t>
            </w:r>
          </w:p>
        </w:tc>
        <w:tc>
          <w:tcPr>
            <w:tcW w:w="720" w:type="dxa"/>
            <w:tcBorders>
              <w:top w:val="nil"/>
              <w:left w:val="nil"/>
              <w:bottom w:val="single" w:sz="8" w:space="0" w:color="000000"/>
              <w:right w:val="nil"/>
            </w:tcBorders>
            <w:tcMar>
              <w:top w:w="80" w:type="dxa"/>
              <w:left w:w="80" w:type="dxa"/>
              <w:bottom w:w="80" w:type="dxa"/>
              <w:right w:w="80" w:type="dxa"/>
            </w:tcMar>
            <w:vAlign w:val="center"/>
          </w:tcPr>
          <w:p w14:paraId="58C55949" w14:textId="77777777" w:rsidR="00DA485B" w:rsidRPr="004D292B" w:rsidRDefault="00DA485B" w:rsidP="009A5251">
            <w:pPr>
              <w:spacing w:after="0"/>
              <w:jc w:val="center"/>
            </w:pPr>
            <w:r w:rsidRPr="004D292B">
              <w:rPr>
                <w:rFonts w:eastAsia="Times New Roman"/>
                <w:b/>
              </w:rPr>
              <w:t>0.96</w:t>
            </w:r>
          </w:p>
        </w:tc>
      </w:tr>
    </w:tbl>
    <w:p w14:paraId="47182175" w14:textId="77777777" w:rsidR="00DA485B" w:rsidRPr="004D292B" w:rsidRDefault="00DA485B" w:rsidP="00DA485B">
      <w:pPr>
        <w:spacing w:after="0" w:line="240" w:lineRule="auto"/>
      </w:pPr>
      <w:r w:rsidRPr="004D292B">
        <w:rPr>
          <w:rFonts w:eastAsia="Times New Roman"/>
          <w:i/>
        </w:rPr>
        <w:t xml:space="preserve">Note. </w:t>
      </w:r>
      <w:r w:rsidRPr="004D292B">
        <w:rPr>
          <w:rFonts w:eastAsia="Times New Roman"/>
        </w:rPr>
        <w:t>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w:t>
      </w:r>
      <w:proofErr w:type="spellStart"/>
      <w:r w:rsidRPr="004D292B">
        <w:rPr>
          <w:rFonts w:eastAsia="Times New Roman"/>
        </w:rPr>
        <w:t>CrI</w:t>
      </w:r>
      <w:proofErr w:type="spellEnd"/>
      <w:r w:rsidRPr="004D292B">
        <w:rPr>
          <w:rFonts w:eastAsia="Times New Roman"/>
        </w:rPr>
        <w:t>) summarizes magnitude uncertainty and is not a significance test.</w:t>
      </w:r>
    </w:p>
    <w:p w14:paraId="4BD76AC7" w14:textId="4BDBC893" w:rsidR="009E444E" w:rsidRPr="004D292B" w:rsidRDefault="009E444E" w:rsidP="009E444E">
      <w:pPr>
        <w:pStyle w:val="Bibliography"/>
        <w:spacing w:line="240" w:lineRule="auto"/>
        <w:ind w:left="0" w:firstLine="0"/>
      </w:pPr>
    </w:p>
    <w:p w14:paraId="42C22425" w14:textId="77777777" w:rsidR="00DA485B" w:rsidRPr="004D292B" w:rsidRDefault="00DA485B">
      <w:pPr>
        <w:spacing w:before="0" w:after="200" w:line="240" w:lineRule="auto"/>
        <w:rPr>
          <w:b/>
          <w:bCs/>
        </w:rPr>
      </w:pPr>
      <w:r w:rsidRPr="004D292B">
        <w:rPr>
          <w:b/>
          <w:bCs/>
        </w:rPr>
        <w:br w:type="page"/>
      </w:r>
    </w:p>
    <w:p w14:paraId="22282EA9" w14:textId="1CD216D1" w:rsidR="009E444E" w:rsidRPr="004D292B" w:rsidRDefault="009E444E" w:rsidP="009E444E">
      <w:pPr>
        <w:pStyle w:val="Bibliography"/>
        <w:spacing w:line="240" w:lineRule="auto"/>
        <w:ind w:left="0" w:firstLine="0"/>
        <w:rPr>
          <w:b/>
          <w:bCs/>
        </w:rPr>
      </w:pPr>
      <w:r w:rsidRPr="004D292B">
        <w:rPr>
          <w:b/>
          <w:bCs/>
        </w:rPr>
        <w:lastRenderedPageBreak/>
        <w:t>Table 3</w:t>
      </w:r>
    </w:p>
    <w:p w14:paraId="7A92BF1D" w14:textId="77777777" w:rsidR="009E444E" w:rsidRPr="004D292B" w:rsidRDefault="009E444E" w:rsidP="009E444E">
      <w:pPr>
        <w:pStyle w:val="Bibliography"/>
        <w:spacing w:line="240" w:lineRule="auto"/>
        <w:rPr>
          <w:i/>
          <w:iCs/>
        </w:rPr>
      </w:pPr>
      <w:r w:rsidRPr="004D292B">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4D292B" w:rsidRPr="004D292B" w14:paraId="765776D3" w14:textId="77777777" w:rsidTr="00F824C8">
        <w:trPr>
          <w:trHeight w:val="720"/>
          <w:jc w:val="center"/>
        </w:trPr>
        <w:tc>
          <w:tcPr>
            <w:tcW w:w="2420" w:type="dxa"/>
            <w:vMerge w:val="restart"/>
          </w:tcPr>
          <w:p w14:paraId="6ABAC4CD" w14:textId="77777777" w:rsidR="009E444E" w:rsidRPr="004D292B" w:rsidRDefault="009E444E" w:rsidP="00F824C8">
            <w:pPr>
              <w:spacing w:line="240" w:lineRule="auto"/>
              <w:jc w:val="center"/>
              <w:rPr>
                <w:rFonts w:cs="Times New Roman"/>
              </w:rPr>
            </w:pPr>
            <w:r w:rsidRPr="004D292B">
              <w:rPr>
                <w:rFonts w:cs="Times New Roman"/>
              </w:rPr>
              <w:t>Model</w:t>
            </w:r>
          </w:p>
        </w:tc>
        <w:tc>
          <w:tcPr>
            <w:tcW w:w="3270" w:type="dxa"/>
            <w:gridSpan w:val="5"/>
            <w:tcBorders>
              <w:bottom w:val="single" w:sz="4" w:space="0" w:color="auto"/>
            </w:tcBorders>
            <w:vAlign w:val="center"/>
          </w:tcPr>
          <w:p w14:paraId="1A1CE3B0" w14:textId="77777777" w:rsidR="009E444E" w:rsidRPr="004D292B" w:rsidRDefault="009E444E" w:rsidP="00F824C8">
            <w:pPr>
              <w:spacing w:line="240" w:lineRule="auto"/>
              <w:jc w:val="center"/>
              <w:rPr>
                <w:rFonts w:cs="Times New Roman"/>
                <w:lang w:val="it-IT"/>
              </w:rPr>
            </w:pPr>
            <w:r w:rsidRPr="004D292B">
              <w:rPr>
                <w:rFonts w:cs="Times New Roman"/>
                <w:lang w:val="it-IT"/>
              </w:rPr>
              <w:t>ELPD</w:t>
            </w:r>
          </w:p>
        </w:tc>
        <w:tc>
          <w:tcPr>
            <w:tcW w:w="3419" w:type="dxa"/>
            <w:gridSpan w:val="5"/>
            <w:tcBorders>
              <w:bottom w:val="single" w:sz="4" w:space="0" w:color="auto"/>
            </w:tcBorders>
            <w:vAlign w:val="center"/>
          </w:tcPr>
          <w:p w14:paraId="61578A09" w14:textId="77777777" w:rsidR="009E444E" w:rsidRPr="004D292B" w:rsidRDefault="009E444E" w:rsidP="00F824C8">
            <w:pPr>
              <w:spacing w:line="240" w:lineRule="auto"/>
              <w:jc w:val="center"/>
              <w:rPr>
                <w:rFonts w:cs="Times New Roman"/>
                <w:lang w:val="it-IT"/>
              </w:rPr>
            </w:pPr>
            <w:r w:rsidRPr="004D292B">
              <w:rPr>
                <w:rFonts w:cs="Times New Roman"/>
                <w:lang w:val="it-IT"/>
              </w:rPr>
              <w:t>LOOIC</w:t>
            </w:r>
          </w:p>
        </w:tc>
      </w:tr>
      <w:tr w:rsidR="004D292B" w:rsidRPr="004D292B" w14:paraId="1186DD7D" w14:textId="77777777" w:rsidTr="00F824C8">
        <w:trPr>
          <w:gridAfter w:val="1"/>
          <w:wAfter w:w="326" w:type="dxa"/>
          <w:trHeight w:val="743"/>
          <w:jc w:val="center"/>
        </w:trPr>
        <w:tc>
          <w:tcPr>
            <w:tcW w:w="2420" w:type="dxa"/>
            <w:vMerge/>
            <w:tcBorders>
              <w:bottom w:val="single" w:sz="4" w:space="0" w:color="auto"/>
            </w:tcBorders>
          </w:tcPr>
          <w:p w14:paraId="14766AA6" w14:textId="77777777" w:rsidR="009E444E" w:rsidRPr="004D292B"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1DE62EA9" w14:textId="77777777" w:rsidR="009E444E" w:rsidRPr="004D292B" w:rsidRDefault="009E444E" w:rsidP="00F824C8">
            <w:pPr>
              <w:spacing w:line="240" w:lineRule="auto"/>
              <w:jc w:val="center"/>
              <w:rPr>
                <w:rFonts w:cs="Times New Roman"/>
                <w:iCs/>
                <w:lang w:val="it-IT"/>
              </w:rPr>
            </w:pPr>
            <w:r w:rsidRPr="004D292B">
              <w:rPr>
                <w:rFonts w:cs="Times New Roman"/>
                <w:iCs/>
                <w:lang w:val="it-IT"/>
              </w:rPr>
              <w:t>Estimate (SE)</w:t>
            </w:r>
          </w:p>
        </w:tc>
        <w:tc>
          <w:tcPr>
            <w:tcW w:w="1095" w:type="dxa"/>
            <w:tcBorders>
              <w:bottom w:val="single" w:sz="4" w:space="0" w:color="auto"/>
            </w:tcBorders>
            <w:vAlign w:val="center"/>
          </w:tcPr>
          <w:p w14:paraId="2298C065" w14:textId="77777777" w:rsidR="009E444E" w:rsidRPr="004D292B" w:rsidRDefault="009E444E" w:rsidP="00F824C8">
            <w:pPr>
              <w:spacing w:line="240" w:lineRule="auto"/>
              <w:jc w:val="center"/>
              <w:rPr>
                <w:rFonts w:cs="Times New Roman"/>
                <w:iCs/>
              </w:rPr>
            </w:pPr>
            <w:r w:rsidRPr="004D292B">
              <w:rPr>
                <w:rFonts w:cs="Times New Roman"/>
                <w:iCs/>
              </w:rPr>
              <w:t>Δ (SE)</w:t>
            </w:r>
          </w:p>
        </w:tc>
        <w:tc>
          <w:tcPr>
            <w:tcW w:w="2073" w:type="dxa"/>
            <w:gridSpan w:val="5"/>
            <w:tcBorders>
              <w:bottom w:val="single" w:sz="4" w:space="0" w:color="auto"/>
            </w:tcBorders>
            <w:vAlign w:val="center"/>
          </w:tcPr>
          <w:p w14:paraId="5919A29B" w14:textId="77777777" w:rsidR="009E444E" w:rsidRPr="004D292B" w:rsidRDefault="009E444E" w:rsidP="00F824C8">
            <w:pPr>
              <w:spacing w:line="240" w:lineRule="auto"/>
              <w:jc w:val="center"/>
              <w:rPr>
                <w:rFonts w:cs="Times New Roman"/>
                <w:iCs/>
                <w:lang w:val="it-IT"/>
              </w:rPr>
            </w:pPr>
            <w:r w:rsidRPr="004D292B">
              <w:rPr>
                <w:rFonts w:cs="Times New Roman"/>
                <w:iCs/>
                <w:lang w:val="it-IT"/>
              </w:rPr>
              <w:t>Estimate (SE)</w:t>
            </w:r>
          </w:p>
        </w:tc>
        <w:tc>
          <w:tcPr>
            <w:tcW w:w="1276" w:type="dxa"/>
            <w:tcBorders>
              <w:bottom w:val="single" w:sz="4" w:space="0" w:color="auto"/>
            </w:tcBorders>
            <w:vAlign w:val="center"/>
          </w:tcPr>
          <w:p w14:paraId="477FEBD3" w14:textId="77777777" w:rsidR="009E444E" w:rsidRPr="004D292B" w:rsidRDefault="009E444E" w:rsidP="00F824C8">
            <w:pPr>
              <w:spacing w:line="240" w:lineRule="auto"/>
              <w:jc w:val="right"/>
              <w:rPr>
                <w:rFonts w:cs="Times New Roman"/>
              </w:rPr>
            </w:pPr>
            <w:r w:rsidRPr="004D292B">
              <w:rPr>
                <w:rFonts w:cs="Times New Roman"/>
              </w:rPr>
              <w:t>p_loo (SE)</w:t>
            </w:r>
          </w:p>
        </w:tc>
      </w:tr>
      <w:tr w:rsidR="004D292B" w:rsidRPr="004D292B" w14:paraId="4752D01C" w14:textId="77777777" w:rsidTr="00F824C8">
        <w:trPr>
          <w:trHeight w:val="639"/>
          <w:jc w:val="center"/>
        </w:trPr>
        <w:tc>
          <w:tcPr>
            <w:tcW w:w="2420" w:type="dxa"/>
            <w:tcBorders>
              <w:bottom w:val="nil"/>
            </w:tcBorders>
            <w:vAlign w:val="center"/>
          </w:tcPr>
          <w:p w14:paraId="7DEBC419" w14:textId="77777777" w:rsidR="009E444E" w:rsidRPr="004D292B" w:rsidRDefault="009E444E" w:rsidP="00F824C8">
            <w:pPr>
              <w:spacing w:line="240" w:lineRule="auto"/>
              <w:jc w:val="center"/>
              <w:rPr>
                <w:rFonts w:cs="Times New Roman"/>
              </w:rPr>
            </w:pPr>
            <w:r w:rsidRPr="004D292B">
              <w:rPr>
                <w:rFonts w:cs="Times New Roman"/>
              </w:rPr>
              <w:t>EMA</w:t>
            </w:r>
          </w:p>
        </w:tc>
        <w:tc>
          <w:tcPr>
            <w:tcW w:w="1827" w:type="dxa"/>
            <w:tcBorders>
              <w:bottom w:val="nil"/>
            </w:tcBorders>
          </w:tcPr>
          <w:p w14:paraId="58CEDC0E" w14:textId="77777777" w:rsidR="009E444E" w:rsidRPr="004D292B" w:rsidRDefault="009E444E" w:rsidP="00F824C8">
            <w:pPr>
              <w:spacing w:line="240" w:lineRule="auto"/>
              <w:jc w:val="center"/>
              <w:rPr>
                <w:lang w:val="it-IT"/>
              </w:rPr>
            </w:pPr>
            <w:r w:rsidRPr="004D292B">
              <w:rPr>
                <w:lang w:val="it-IT"/>
              </w:rPr>
              <w:t>-1247.3 (16.8) </w:t>
            </w:r>
          </w:p>
        </w:tc>
        <w:tc>
          <w:tcPr>
            <w:tcW w:w="1275" w:type="dxa"/>
            <w:gridSpan w:val="3"/>
            <w:tcBorders>
              <w:bottom w:val="nil"/>
            </w:tcBorders>
          </w:tcPr>
          <w:p w14:paraId="12DCF15C" w14:textId="77777777" w:rsidR="009E444E" w:rsidRPr="004D292B" w:rsidRDefault="009E444E" w:rsidP="00F824C8">
            <w:pPr>
              <w:spacing w:line="240" w:lineRule="auto"/>
              <w:jc w:val="center"/>
              <w:rPr>
                <w:rFonts w:cs="Times New Roman"/>
                <w:b/>
                <w:bCs/>
                <w:lang w:val="it-IT"/>
              </w:rPr>
            </w:pPr>
            <w:r w:rsidRPr="004D292B">
              <w:rPr>
                <w:rFonts w:cs="Times New Roman"/>
                <w:b/>
                <w:bCs/>
                <w:lang w:val="it-IT"/>
              </w:rPr>
              <w:t>—</w:t>
            </w:r>
          </w:p>
        </w:tc>
        <w:tc>
          <w:tcPr>
            <w:tcW w:w="1760" w:type="dxa"/>
            <w:gridSpan w:val="3"/>
            <w:tcBorders>
              <w:bottom w:val="nil"/>
            </w:tcBorders>
          </w:tcPr>
          <w:p w14:paraId="41241BF5" w14:textId="77777777" w:rsidR="009E444E" w:rsidRPr="004D292B" w:rsidRDefault="009E444E" w:rsidP="00F824C8">
            <w:pPr>
              <w:spacing w:line="240" w:lineRule="auto"/>
              <w:jc w:val="center"/>
              <w:rPr>
                <w:lang w:val="it-IT"/>
              </w:rPr>
            </w:pPr>
            <w:r w:rsidRPr="004D292B">
              <w:rPr>
                <w:lang w:val="it-IT"/>
              </w:rPr>
              <w:t>2494.6 (33.7) </w:t>
            </w:r>
          </w:p>
        </w:tc>
        <w:tc>
          <w:tcPr>
            <w:tcW w:w="1827" w:type="dxa"/>
            <w:gridSpan w:val="3"/>
            <w:tcBorders>
              <w:bottom w:val="nil"/>
            </w:tcBorders>
          </w:tcPr>
          <w:p w14:paraId="21514F10" w14:textId="77777777" w:rsidR="009E444E" w:rsidRPr="004D292B" w:rsidRDefault="009E444E" w:rsidP="00F824C8">
            <w:pPr>
              <w:spacing w:line="240" w:lineRule="auto"/>
              <w:jc w:val="center"/>
              <w:rPr>
                <w:lang w:val="it-IT"/>
              </w:rPr>
            </w:pPr>
            <w:r w:rsidRPr="004D292B">
              <w:rPr>
                <w:lang w:val="it-IT"/>
              </w:rPr>
              <w:t>110.3 (9.2)</w:t>
            </w:r>
          </w:p>
        </w:tc>
      </w:tr>
      <w:tr w:rsidR="004D292B" w:rsidRPr="004D292B" w14:paraId="0879635A" w14:textId="77777777" w:rsidTr="00F824C8">
        <w:trPr>
          <w:trHeight w:val="319"/>
          <w:jc w:val="center"/>
        </w:trPr>
        <w:tc>
          <w:tcPr>
            <w:tcW w:w="2420" w:type="dxa"/>
            <w:tcBorders>
              <w:top w:val="nil"/>
              <w:bottom w:val="nil"/>
            </w:tcBorders>
            <w:vAlign w:val="center"/>
          </w:tcPr>
          <w:p w14:paraId="4F069DF5" w14:textId="77777777" w:rsidR="009E444E" w:rsidRPr="004D292B" w:rsidRDefault="009E444E" w:rsidP="00F824C8">
            <w:pPr>
              <w:suppressLineNumbers/>
              <w:spacing w:after="0" w:line="240" w:lineRule="auto"/>
              <w:jc w:val="center"/>
              <w:rPr>
                <w:rFonts w:cs="Times New Roman"/>
              </w:rPr>
            </w:pPr>
            <w:r w:rsidRPr="004D292B">
              <w:rPr>
                <w:rFonts w:cs="Times New Roman"/>
              </w:rPr>
              <w:t>Combined</w:t>
            </w:r>
          </w:p>
        </w:tc>
        <w:tc>
          <w:tcPr>
            <w:tcW w:w="1827" w:type="dxa"/>
            <w:tcBorders>
              <w:top w:val="nil"/>
              <w:bottom w:val="nil"/>
            </w:tcBorders>
          </w:tcPr>
          <w:p w14:paraId="4BE6AD66" w14:textId="77777777" w:rsidR="009E444E" w:rsidRPr="004D292B" w:rsidRDefault="009E444E" w:rsidP="00F824C8">
            <w:pPr>
              <w:spacing w:line="240" w:lineRule="auto"/>
              <w:jc w:val="center"/>
              <w:rPr>
                <w:lang w:val="it-IT"/>
              </w:rPr>
            </w:pPr>
            <w:r w:rsidRPr="004D292B">
              <w:rPr>
                <w:lang w:val="it-IT"/>
              </w:rPr>
              <w:t>-1250.3 (16.7) </w:t>
            </w:r>
          </w:p>
        </w:tc>
        <w:tc>
          <w:tcPr>
            <w:tcW w:w="1275" w:type="dxa"/>
            <w:gridSpan w:val="3"/>
            <w:tcBorders>
              <w:top w:val="nil"/>
              <w:bottom w:val="nil"/>
            </w:tcBorders>
          </w:tcPr>
          <w:p w14:paraId="6B970362" w14:textId="77777777" w:rsidR="009E444E" w:rsidRPr="004D292B" w:rsidRDefault="009E444E" w:rsidP="00F824C8">
            <w:pPr>
              <w:spacing w:line="240" w:lineRule="auto"/>
              <w:jc w:val="center"/>
              <w:rPr>
                <w:lang w:val="it-IT"/>
              </w:rPr>
            </w:pPr>
            <w:r w:rsidRPr="004D292B">
              <w:rPr>
                <w:lang w:val="it-IT"/>
              </w:rPr>
              <w:t>-3.0 (3.6) </w:t>
            </w:r>
          </w:p>
        </w:tc>
        <w:tc>
          <w:tcPr>
            <w:tcW w:w="1701" w:type="dxa"/>
            <w:gridSpan w:val="2"/>
            <w:tcBorders>
              <w:top w:val="nil"/>
              <w:bottom w:val="nil"/>
            </w:tcBorders>
          </w:tcPr>
          <w:p w14:paraId="1B69C4EF" w14:textId="77777777" w:rsidR="009E444E" w:rsidRPr="004D292B" w:rsidRDefault="009E444E" w:rsidP="00F824C8">
            <w:pPr>
              <w:spacing w:line="240" w:lineRule="auto"/>
              <w:jc w:val="center"/>
              <w:rPr>
                <w:lang w:val="it-IT"/>
              </w:rPr>
            </w:pPr>
            <w:r w:rsidRPr="004D292B">
              <w:rPr>
                <w:lang w:val="it-IT"/>
              </w:rPr>
              <w:t>2500.6 (33.3) </w:t>
            </w:r>
          </w:p>
        </w:tc>
        <w:tc>
          <w:tcPr>
            <w:tcW w:w="1886" w:type="dxa"/>
            <w:gridSpan w:val="4"/>
            <w:tcBorders>
              <w:top w:val="nil"/>
              <w:bottom w:val="nil"/>
            </w:tcBorders>
          </w:tcPr>
          <w:p w14:paraId="43B4C1BE" w14:textId="77777777" w:rsidR="009E444E" w:rsidRPr="004D292B" w:rsidRDefault="009E444E" w:rsidP="00F824C8">
            <w:pPr>
              <w:spacing w:line="240" w:lineRule="auto"/>
              <w:jc w:val="center"/>
              <w:rPr>
                <w:lang w:val="it-IT"/>
              </w:rPr>
            </w:pPr>
            <w:r w:rsidRPr="004D292B">
              <w:rPr>
                <w:lang w:val="it-IT"/>
              </w:rPr>
              <w:t>118.0 (9.4)</w:t>
            </w:r>
          </w:p>
        </w:tc>
      </w:tr>
      <w:tr w:rsidR="004D292B" w:rsidRPr="004D292B" w14:paraId="082094ED" w14:textId="77777777" w:rsidTr="00F824C8">
        <w:trPr>
          <w:trHeight w:val="319"/>
          <w:jc w:val="center"/>
        </w:trPr>
        <w:tc>
          <w:tcPr>
            <w:tcW w:w="2420" w:type="dxa"/>
            <w:tcBorders>
              <w:top w:val="nil"/>
              <w:bottom w:val="single" w:sz="4" w:space="0" w:color="auto"/>
            </w:tcBorders>
            <w:vAlign w:val="center"/>
          </w:tcPr>
          <w:p w14:paraId="33E5388E" w14:textId="77777777" w:rsidR="009E444E" w:rsidRPr="004D292B" w:rsidRDefault="009E444E" w:rsidP="00F824C8">
            <w:pPr>
              <w:suppressLineNumbers/>
              <w:spacing w:after="0" w:line="240" w:lineRule="auto"/>
              <w:jc w:val="center"/>
              <w:rPr>
                <w:rFonts w:cs="Times New Roman"/>
              </w:rPr>
            </w:pPr>
            <w:r w:rsidRPr="004D292B">
              <w:rPr>
                <w:rFonts w:cs="Times New Roman"/>
              </w:rPr>
              <w:t>Baseline</w:t>
            </w:r>
          </w:p>
        </w:tc>
        <w:tc>
          <w:tcPr>
            <w:tcW w:w="1827" w:type="dxa"/>
            <w:tcBorders>
              <w:top w:val="nil"/>
              <w:bottom w:val="single" w:sz="4" w:space="0" w:color="auto"/>
            </w:tcBorders>
          </w:tcPr>
          <w:p w14:paraId="7BB776A6" w14:textId="77777777" w:rsidR="009E444E" w:rsidRPr="004D292B" w:rsidRDefault="009E444E" w:rsidP="00F824C8">
            <w:pPr>
              <w:spacing w:line="240" w:lineRule="auto"/>
              <w:jc w:val="center"/>
              <w:rPr>
                <w:lang w:val="it-IT"/>
              </w:rPr>
            </w:pPr>
            <w:r w:rsidRPr="004D292B">
              <w:rPr>
                <w:lang w:val="it-IT"/>
              </w:rPr>
              <w:t>-1251.9 (16.9)</w:t>
            </w:r>
          </w:p>
        </w:tc>
        <w:tc>
          <w:tcPr>
            <w:tcW w:w="1275" w:type="dxa"/>
            <w:gridSpan w:val="3"/>
            <w:tcBorders>
              <w:top w:val="nil"/>
              <w:bottom w:val="single" w:sz="4" w:space="0" w:color="auto"/>
            </w:tcBorders>
          </w:tcPr>
          <w:p w14:paraId="484FC10E" w14:textId="77777777" w:rsidR="009E444E" w:rsidRPr="004D292B" w:rsidRDefault="009E444E" w:rsidP="00F824C8">
            <w:pPr>
              <w:spacing w:line="240" w:lineRule="auto"/>
              <w:jc w:val="center"/>
              <w:rPr>
                <w:lang w:val="it-IT"/>
              </w:rPr>
            </w:pPr>
            <w:r w:rsidRPr="004D292B">
              <w:rPr>
                <w:lang w:val="it-IT"/>
              </w:rPr>
              <w:t>-4.6 (4.0) </w:t>
            </w:r>
          </w:p>
        </w:tc>
        <w:tc>
          <w:tcPr>
            <w:tcW w:w="1701" w:type="dxa"/>
            <w:gridSpan w:val="2"/>
            <w:tcBorders>
              <w:top w:val="nil"/>
              <w:bottom w:val="single" w:sz="4" w:space="0" w:color="auto"/>
            </w:tcBorders>
          </w:tcPr>
          <w:p w14:paraId="36AE0E94" w14:textId="77777777" w:rsidR="009E444E" w:rsidRPr="004D292B" w:rsidRDefault="009E444E" w:rsidP="00F824C8">
            <w:pPr>
              <w:spacing w:line="240" w:lineRule="auto"/>
              <w:jc w:val="center"/>
              <w:rPr>
                <w:lang w:val="it-IT"/>
              </w:rPr>
            </w:pPr>
            <w:r w:rsidRPr="004D292B">
              <w:rPr>
                <w:lang w:val="it-IT"/>
              </w:rPr>
              <w:t>2503.8 (33.8)</w:t>
            </w:r>
          </w:p>
        </w:tc>
        <w:tc>
          <w:tcPr>
            <w:tcW w:w="1886" w:type="dxa"/>
            <w:gridSpan w:val="4"/>
            <w:tcBorders>
              <w:top w:val="nil"/>
              <w:bottom w:val="single" w:sz="4" w:space="0" w:color="auto"/>
            </w:tcBorders>
          </w:tcPr>
          <w:p w14:paraId="4E720B19" w14:textId="77777777" w:rsidR="009E444E" w:rsidRPr="004D292B" w:rsidRDefault="009E444E" w:rsidP="00F824C8">
            <w:pPr>
              <w:spacing w:line="240" w:lineRule="auto"/>
              <w:jc w:val="center"/>
              <w:rPr>
                <w:lang w:val="it-IT"/>
              </w:rPr>
            </w:pPr>
            <w:r w:rsidRPr="004D292B">
              <w:rPr>
                <w:lang w:val="it-IT"/>
              </w:rPr>
              <w:t>109.0 (8.9)</w:t>
            </w:r>
          </w:p>
        </w:tc>
      </w:tr>
    </w:tbl>
    <w:p w14:paraId="64FE0F94" w14:textId="77777777" w:rsidR="009E444E" w:rsidRPr="004D292B" w:rsidRDefault="009E444E" w:rsidP="009E444E">
      <w:pPr>
        <w:pStyle w:val="Bibliography"/>
        <w:spacing w:line="240" w:lineRule="auto"/>
        <w:ind w:left="0" w:firstLine="0"/>
        <w:rPr>
          <w:lang w:val="en-GB"/>
        </w:rPr>
      </w:pPr>
      <w:r w:rsidRPr="004D292B">
        <w:rPr>
          <w:i/>
          <w:iCs/>
          <w:lang w:val="en-GB"/>
        </w:rPr>
        <w:t xml:space="preserve">Note. </w:t>
      </w:r>
      <w:r w:rsidRPr="004D292B">
        <w:rPr>
          <w:lang w:val="en-GB"/>
        </w:rPr>
        <w:t xml:space="preserve">ELPD = </w:t>
      </w:r>
      <w:r w:rsidRPr="004D292B">
        <w:t>Expected Log Predictive Density, LOOIC = Leave-One-Out Information Criterion, SE = Standard Error. The Δ ELPD column shows the difference relative to the best-performing model (EMA).</w:t>
      </w:r>
    </w:p>
    <w:p w14:paraId="47B805F7" w14:textId="77777777" w:rsidR="00DA485B" w:rsidRPr="004D292B" w:rsidRDefault="00DA485B">
      <w:pPr>
        <w:spacing w:before="0" w:after="200" w:line="240" w:lineRule="auto"/>
        <w:rPr>
          <w:b/>
          <w:bCs/>
        </w:rPr>
      </w:pPr>
      <w:r w:rsidRPr="004D292B">
        <w:rPr>
          <w:b/>
          <w:bCs/>
        </w:rPr>
        <w:br w:type="page"/>
      </w:r>
    </w:p>
    <w:p w14:paraId="01A8858C" w14:textId="2CF17F93" w:rsidR="009E444E" w:rsidRPr="004D292B" w:rsidRDefault="009E444E" w:rsidP="009E444E">
      <w:pPr>
        <w:pStyle w:val="Bibliography"/>
        <w:spacing w:line="240" w:lineRule="auto"/>
        <w:ind w:left="0" w:firstLine="0"/>
        <w:rPr>
          <w:b/>
          <w:bCs/>
        </w:rPr>
      </w:pPr>
      <w:r w:rsidRPr="004D292B">
        <w:rPr>
          <w:b/>
          <w:bCs/>
        </w:rPr>
        <w:lastRenderedPageBreak/>
        <w:t>Table 4</w:t>
      </w:r>
    </w:p>
    <w:p w14:paraId="39180B19" w14:textId="77777777" w:rsidR="009E444E" w:rsidRPr="004D292B" w:rsidRDefault="009E444E" w:rsidP="009E444E">
      <w:pPr>
        <w:pStyle w:val="Bibliography"/>
        <w:spacing w:line="240" w:lineRule="auto"/>
        <w:rPr>
          <w:i/>
          <w:iCs/>
        </w:rPr>
      </w:pPr>
      <w:r w:rsidRPr="004D292B">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4D292B" w:rsidRPr="004D292B" w14:paraId="0320BC1E" w14:textId="77777777" w:rsidTr="00F824C8">
        <w:trPr>
          <w:trHeight w:val="610"/>
          <w:jc w:val="center"/>
        </w:trPr>
        <w:tc>
          <w:tcPr>
            <w:tcW w:w="1884" w:type="dxa"/>
            <w:vMerge w:val="restart"/>
          </w:tcPr>
          <w:p w14:paraId="6A6EA39C" w14:textId="77777777" w:rsidR="009E444E" w:rsidRPr="004D292B" w:rsidRDefault="009E444E" w:rsidP="00F824C8">
            <w:pPr>
              <w:spacing w:line="240" w:lineRule="auto"/>
              <w:jc w:val="center"/>
              <w:rPr>
                <w:rFonts w:cs="Times New Roman"/>
              </w:rPr>
            </w:pPr>
            <w:r w:rsidRPr="004D292B">
              <w:rPr>
                <w:rFonts w:cs="Times New Roman"/>
              </w:rPr>
              <w:t xml:space="preserve"> Model</w:t>
            </w:r>
          </w:p>
        </w:tc>
        <w:tc>
          <w:tcPr>
            <w:tcW w:w="5088" w:type="dxa"/>
            <w:gridSpan w:val="7"/>
          </w:tcPr>
          <w:p w14:paraId="318781B2" w14:textId="77777777" w:rsidR="009E444E" w:rsidRPr="004D292B" w:rsidRDefault="009E444E" w:rsidP="00F824C8">
            <w:pPr>
              <w:spacing w:line="240" w:lineRule="auto"/>
              <w:rPr>
                <w:rFonts w:cs="Times New Roman"/>
                <w:lang w:val="it-IT"/>
              </w:rPr>
            </w:pPr>
            <w:r w:rsidRPr="004D292B">
              <w:rPr>
                <w:rFonts w:cs="Times New Roman"/>
              </w:rPr>
              <w:t>Negative Affectivity × Stress (</w:t>
            </w:r>
            <w:r w:rsidRPr="004D292B">
              <w:rPr>
                <w:rFonts w:ascii="Cambria Math" w:hAnsi="Cambria Math" w:cs="Cambria Math"/>
              </w:rPr>
              <w:t>𝛾</w:t>
            </w:r>
            <w:r w:rsidRPr="004D292B">
              <w:rPr>
                <w:rFonts w:cs="Times New Roman"/>
              </w:rPr>
              <w:t>1)</w:t>
            </w:r>
          </w:p>
        </w:tc>
        <w:tc>
          <w:tcPr>
            <w:tcW w:w="2676" w:type="dxa"/>
            <w:gridSpan w:val="3"/>
            <w:tcBorders>
              <w:bottom w:val="nil"/>
            </w:tcBorders>
          </w:tcPr>
          <w:p w14:paraId="36876454" w14:textId="77777777" w:rsidR="009E444E" w:rsidRPr="004D292B" w:rsidRDefault="009E444E" w:rsidP="00F824C8">
            <w:pPr>
              <w:spacing w:line="240" w:lineRule="auto"/>
              <w:rPr>
                <w:rFonts w:cs="Times New Roman"/>
                <w:lang w:val="it-IT"/>
              </w:rPr>
            </w:pPr>
            <w:r w:rsidRPr="004D292B">
              <w:rPr>
                <w:rFonts w:eastAsia="Times New Roman" w:cs="Times New Roman"/>
                <w:lang w:eastAsia="it-IT"/>
              </w:rPr>
              <w:t>Improvemen</w:t>
            </w:r>
            <w:r w:rsidRPr="004D292B">
              <w:t>t</w:t>
            </w:r>
          </w:p>
        </w:tc>
      </w:tr>
      <w:tr w:rsidR="004D292B" w:rsidRPr="004D292B" w14:paraId="3270C264" w14:textId="77777777" w:rsidTr="00F824C8">
        <w:trPr>
          <w:gridAfter w:val="1"/>
          <w:wAfter w:w="267" w:type="dxa"/>
          <w:trHeight w:val="630"/>
          <w:jc w:val="center"/>
        </w:trPr>
        <w:tc>
          <w:tcPr>
            <w:tcW w:w="1884" w:type="dxa"/>
            <w:vMerge/>
            <w:tcBorders>
              <w:bottom w:val="single" w:sz="4" w:space="0" w:color="auto"/>
            </w:tcBorders>
          </w:tcPr>
          <w:p w14:paraId="19DD76F5" w14:textId="77777777" w:rsidR="009E444E" w:rsidRPr="004D292B"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6029675A" w14:textId="77777777" w:rsidR="009E444E" w:rsidRPr="004D292B" w:rsidRDefault="009E444E" w:rsidP="00F824C8">
            <w:pPr>
              <w:spacing w:line="240" w:lineRule="auto"/>
              <w:jc w:val="center"/>
              <w:rPr>
                <w:rFonts w:cs="Times New Roman"/>
                <w:iCs/>
                <w:lang w:val="it-IT"/>
              </w:rPr>
            </w:pPr>
            <w:r w:rsidRPr="004D292B">
              <w:rPr>
                <w:rFonts w:cs="Times New Roman"/>
              </w:rPr>
              <w:t>Mean (Hz)</w:t>
            </w:r>
          </w:p>
        </w:tc>
        <w:tc>
          <w:tcPr>
            <w:tcW w:w="2015" w:type="dxa"/>
            <w:tcBorders>
              <w:top w:val="nil"/>
              <w:bottom w:val="single" w:sz="4" w:space="0" w:color="auto"/>
            </w:tcBorders>
          </w:tcPr>
          <w:p w14:paraId="2F6ECA14" w14:textId="77777777" w:rsidR="009E444E" w:rsidRPr="004D292B" w:rsidRDefault="009E444E" w:rsidP="00F824C8">
            <w:pPr>
              <w:spacing w:line="240" w:lineRule="auto"/>
              <w:jc w:val="center"/>
              <w:rPr>
                <w:rFonts w:cs="Times New Roman"/>
                <w:iCs/>
              </w:rPr>
            </w:pPr>
            <w:r w:rsidRPr="004D292B">
              <w:rPr>
                <w:rFonts w:cs="Times New Roman"/>
              </w:rPr>
              <w:t>89% CrI</w:t>
            </w:r>
          </w:p>
        </w:tc>
        <w:tc>
          <w:tcPr>
            <w:tcW w:w="1563" w:type="dxa"/>
            <w:gridSpan w:val="3"/>
            <w:tcBorders>
              <w:top w:val="nil"/>
              <w:bottom w:val="single" w:sz="4" w:space="0" w:color="auto"/>
            </w:tcBorders>
          </w:tcPr>
          <w:p w14:paraId="484B27B3" w14:textId="77777777" w:rsidR="009E444E" w:rsidRPr="004D292B" w:rsidRDefault="00CC4A16" w:rsidP="00F824C8">
            <w:pPr>
              <w:spacing w:line="240" w:lineRule="auto"/>
              <w:jc w:val="center"/>
              <w:rPr>
                <w:rFonts w:cs="Times New Roman"/>
              </w:rPr>
            </w:pPr>
            <w:r w:rsidRPr="004D292B">
              <w:rPr>
                <w:rFonts w:cs="Times New Roman"/>
              </w:rPr>
              <w:t>pd</w:t>
            </w:r>
          </w:p>
        </w:tc>
        <w:tc>
          <w:tcPr>
            <w:tcW w:w="2451" w:type="dxa"/>
            <w:gridSpan w:val="3"/>
            <w:tcBorders>
              <w:top w:val="nil"/>
              <w:bottom w:val="single" w:sz="4" w:space="0" w:color="auto"/>
            </w:tcBorders>
          </w:tcPr>
          <w:p w14:paraId="063ECDFB" w14:textId="77777777" w:rsidR="009E444E" w:rsidRPr="004D292B" w:rsidRDefault="009E444E" w:rsidP="00F824C8">
            <w:pPr>
              <w:spacing w:line="240" w:lineRule="auto"/>
              <w:rPr>
                <w:rFonts w:cs="Times New Roman"/>
              </w:rPr>
            </w:pPr>
          </w:p>
        </w:tc>
      </w:tr>
      <w:tr w:rsidR="004D292B" w:rsidRPr="004D292B" w14:paraId="3FFB59BA" w14:textId="77777777" w:rsidTr="00F824C8">
        <w:trPr>
          <w:trHeight w:val="541"/>
          <w:jc w:val="center"/>
        </w:trPr>
        <w:tc>
          <w:tcPr>
            <w:tcW w:w="1884" w:type="dxa"/>
            <w:tcBorders>
              <w:top w:val="nil"/>
              <w:bottom w:val="nil"/>
            </w:tcBorders>
            <w:vAlign w:val="center"/>
          </w:tcPr>
          <w:p w14:paraId="2ADE569D" w14:textId="77777777" w:rsidR="009E444E" w:rsidRPr="004D292B" w:rsidRDefault="009E444E" w:rsidP="00F824C8">
            <w:pPr>
              <w:spacing w:line="240" w:lineRule="auto"/>
              <w:jc w:val="center"/>
              <w:rPr>
                <w:rFonts w:cs="Times New Roman"/>
              </w:rPr>
            </w:pPr>
            <w:r w:rsidRPr="004D292B">
              <w:rPr>
                <w:rFonts w:cs="Times New Roman"/>
              </w:rPr>
              <w:t>EMA</w:t>
            </w:r>
          </w:p>
        </w:tc>
        <w:tc>
          <w:tcPr>
            <w:tcW w:w="1405" w:type="dxa"/>
            <w:tcBorders>
              <w:top w:val="nil"/>
              <w:bottom w:val="nil"/>
            </w:tcBorders>
          </w:tcPr>
          <w:p w14:paraId="2EAD882C" w14:textId="77777777" w:rsidR="009E444E" w:rsidRPr="004D292B" w:rsidRDefault="009E444E" w:rsidP="00F824C8">
            <w:pPr>
              <w:spacing w:line="240" w:lineRule="auto"/>
              <w:jc w:val="center"/>
              <w:rPr>
                <w:lang w:val="it-IT"/>
              </w:rPr>
            </w:pPr>
            <w:r w:rsidRPr="004D292B">
              <w:rPr>
                <w:lang w:val="it-IT"/>
              </w:rPr>
              <w:t>3.07</w:t>
            </w:r>
          </w:p>
        </w:tc>
        <w:tc>
          <w:tcPr>
            <w:tcW w:w="2614" w:type="dxa"/>
            <w:gridSpan w:val="3"/>
            <w:tcBorders>
              <w:top w:val="nil"/>
              <w:bottom w:val="nil"/>
            </w:tcBorders>
          </w:tcPr>
          <w:p w14:paraId="524DD03B" w14:textId="77777777" w:rsidR="009E444E" w:rsidRPr="004D292B" w:rsidRDefault="009E444E" w:rsidP="00F824C8">
            <w:pPr>
              <w:spacing w:line="240" w:lineRule="auto"/>
              <w:rPr>
                <w:rFonts w:cs="Times New Roman"/>
                <w:b/>
                <w:bCs/>
                <w:lang w:val="it-IT"/>
              </w:rPr>
            </w:pPr>
            <w:r w:rsidRPr="004D292B">
              <w:t>[0.30, 5.91]</w:t>
            </w:r>
          </w:p>
        </w:tc>
        <w:tc>
          <w:tcPr>
            <w:tcW w:w="924" w:type="dxa"/>
            <w:tcBorders>
              <w:top w:val="nil"/>
              <w:bottom w:val="nil"/>
            </w:tcBorders>
          </w:tcPr>
          <w:p w14:paraId="0E3A55E2" w14:textId="77777777" w:rsidR="009E444E" w:rsidRPr="004D292B" w:rsidRDefault="009E444E" w:rsidP="00F824C8">
            <w:pPr>
              <w:spacing w:line="240" w:lineRule="auto"/>
              <w:rPr>
                <w:rFonts w:cs="Times New Roman"/>
                <w:b/>
                <w:bCs/>
                <w:lang w:val="it-IT"/>
              </w:rPr>
            </w:pPr>
            <w:r w:rsidRPr="004D292B">
              <w:rPr>
                <w:rFonts w:cs="Times New Roman"/>
                <w:lang w:val="it-IT"/>
              </w:rPr>
              <w:t>0.96</w:t>
            </w:r>
          </w:p>
        </w:tc>
        <w:tc>
          <w:tcPr>
            <w:tcW w:w="530" w:type="dxa"/>
            <w:gridSpan w:val="3"/>
            <w:tcBorders>
              <w:top w:val="nil"/>
              <w:bottom w:val="nil"/>
            </w:tcBorders>
          </w:tcPr>
          <w:p w14:paraId="6EFD6889" w14:textId="77777777" w:rsidR="009E444E" w:rsidRPr="004D292B" w:rsidRDefault="009E444E" w:rsidP="00F824C8">
            <w:pPr>
              <w:spacing w:line="240" w:lineRule="auto"/>
              <w:rPr>
                <w:lang w:val="it-IT"/>
              </w:rPr>
            </w:pPr>
          </w:p>
        </w:tc>
        <w:tc>
          <w:tcPr>
            <w:tcW w:w="2291" w:type="dxa"/>
            <w:gridSpan w:val="2"/>
            <w:tcBorders>
              <w:top w:val="nil"/>
              <w:bottom w:val="nil"/>
            </w:tcBorders>
          </w:tcPr>
          <w:p w14:paraId="0AA03AC5" w14:textId="77777777" w:rsidR="009E444E" w:rsidRPr="004D292B" w:rsidRDefault="009E444E" w:rsidP="00F824C8">
            <w:pPr>
              <w:spacing w:line="240" w:lineRule="auto"/>
              <w:rPr>
                <w:lang w:val="it-IT"/>
              </w:rPr>
            </w:pPr>
            <w:r w:rsidRPr="004D292B">
              <w:rPr>
                <w:rFonts w:cs="Times New Roman"/>
                <w:lang w:val="it-IT"/>
              </w:rPr>
              <w:t>+30%</w:t>
            </w:r>
          </w:p>
        </w:tc>
      </w:tr>
      <w:tr w:rsidR="004D292B" w:rsidRPr="004D292B" w14:paraId="66361F3C" w14:textId="77777777" w:rsidTr="00F824C8">
        <w:trPr>
          <w:trHeight w:val="541"/>
          <w:jc w:val="center"/>
        </w:trPr>
        <w:tc>
          <w:tcPr>
            <w:tcW w:w="1884" w:type="dxa"/>
            <w:tcBorders>
              <w:top w:val="nil"/>
              <w:bottom w:val="single" w:sz="4" w:space="0" w:color="auto"/>
            </w:tcBorders>
            <w:vAlign w:val="center"/>
          </w:tcPr>
          <w:p w14:paraId="28AE1D52" w14:textId="77777777" w:rsidR="009E444E" w:rsidRPr="004D292B" w:rsidRDefault="009E444E" w:rsidP="00F824C8">
            <w:pPr>
              <w:spacing w:line="240" w:lineRule="auto"/>
              <w:jc w:val="center"/>
              <w:rPr>
                <w:rFonts w:cs="Times New Roman"/>
              </w:rPr>
            </w:pPr>
            <w:r w:rsidRPr="004D292B">
              <w:rPr>
                <w:rFonts w:cs="Times New Roman"/>
              </w:rPr>
              <w:t>Baseline</w:t>
            </w:r>
          </w:p>
        </w:tc>
        <w:tc>
          <w:tcPr>
            <w:tcW w:w="1405" w:type="dxa"/>
            <w:tcBorders>
              <w:top w:val="nil"/>
              <w:bottom w:val="single" w:sz="4" w:space="0" w:color="auto"/>
            </w:tcBorders>
          </w:tcPr>
          <w:p w14:paraId="3AA7AA15" w14:textId="77777777" w:rsidR="009E444E" w:rsidRPr="004D292B" w:rsidRDefault="009E444E" w:rsidP="00F824C8">
            <w:pPr>
              <w:spacing w:line="240" w:lineRule="auto"/>
              <w:jc w:val="center"/>
              <w:rPr>
                <w:lang w:val="it-IT"/>
              </w:rPr>
            </w:pPr>
            <w:r w:rsidRPr="004D292B">
              <w:rPr>
                <w:lang w:val="it-IT"/>
              </w:rPr>
              <w:t>2.65</w:t>
            </w:r>
          </w:p>
        </w:tc>
        <w:tc>
          <w:tcPr>
            <w:tcW w:w="2614" w:type="dxa"/>
            <w:gridSpan w:val="3"/>
            <w:tcBorders>
              <w:top w:val="nil"/>
              <w:bottom w:val="single" w:sz="4" w:space="0" w:color="auto"/>
            </w:tcBorders>
          </w:tcPr>
          <w:p w14:paraId="4D34B28F" w14:textId="77777777" w:rsidR="009E444E" w:rsidRPr="004D292B" w:rsidRDefault="009E444E" w:rsidP="00F824C8">
            <w:pPr>
              <w:spacing w:line="240" w:lineRule="auto"/>
            </w:pPr>
            <w:r w:rsidRPr="004D292B">
              <w:rPr>
                <w:lang w:val="it-IT"/>
              </w:rPr>
              <w:t>[−1.33, 6.64]</w:t>
            </w:r>
          </w:p>
        </w:tc>
        <w:tc>
          <w:tcPr>
            <w:tcW w:w="924" w:type="dxa"/>
            <w:tcBorders>
              <w:top w:val="nil"/>
              <w:bottom w:val="single" w:sz="4" w:space="0" w:color="auto"/>
            </w:tcBorders>
          </w:tcPr>
          <w:p w14:paraId="79B2E400" w14:textId="77777777" w:rsidR="009E444E" w:rsidRPr="004D292B" w:rsidRDefault="009E444E" w:rsidP="00F824C8">
            <w:pPr>
              <w:spacing w:line="240" w:lineRule="auto"/>
              <w:rPr>
                <w:rFonts w:cs="Times New Roman"/>
                <w:lang w:val="it-IT"/>
              </w:rPr>
            </w:pPr>
            <w:r w:rsidRPr="004D292B">
              <w:rPr>
                <w:lang w:val="it-IT"/>
              </w:rPr>
              <w:t>0.86</w:t>
            </w:r>
          </w:p>
        </w:tc>
        <w:tc>
          <w:tcPr>
            <w:tcW w:w="530" w:type="dxa"/>
            <w:gridSpan w:val="3"/>
            <w:tcBorders>
              <w:top w:val="nil"/>
              <w:bottom w:val="single" w:sz="4" w:space="0" w:color="auto"/>
            </w:tcBorders>
          </w:tcPr>
          <w:p w14:paraId="5EE1BBD9" w14:textId="77777777" w:rsidR="009E444E" w:rsidRPr="004D292B" w:rsidRDefault="009E444E" w:rsidP="00F824C8">
            <w:pPr>
              <w:spacing w:line="240" w:lineRule="auto"/>
              <w:rPr>
                <w:lang w:val="it-IT"/>
              </w:rPr>
            </w:pPr>
          </w:p>
        </w:tc>
        <w:tc>
          <w:tcPr>
            <w:tcW w:w="2291" w:type="dxa"/>
            <w:gridSpan w:val="2"/>
            <w:tcBorders>
              <w:top w:val="nil"/>
              <w:bottom w:val="single" w:sz="4" w:space="0" w:color="auto"/>
            </w:tcBorders>
          </w:tcPr>
          <w:p w14:paraId="14F06A99" w14:textId="77777777" w:rsidR="009E444E" w:rsidRPr="004D292B" w:rsidRDefault="009E444E" w:rsidP="00F824C8">
            <w:pPr>
              <w:spacing w:line="240" w:lineRule="auto"/>
              <w:rPr>
                <w:rFonts w:cs="Times New Roman"/>
                <w:lang w:val="it-IT"/>
              </w:rPr>
            </w:pPr>
            <w:r w:rsidRPr="004D292B">
              <w:rPr>
                <w:b/>
                <w:bCs/>
                <w:lang w:val="it-IT"/>
              </w:rPr>
              <w:t>—</w:t>
            </w:r>
          </w:p>
        </w:tc>
      </w:tr>
      <w:tr w:rsidR="009E444E" w:rsidRPr="004D292B" w14:paraId="09620E3B" w14:textId="77777777" w:rsidTr="00F824C8">
        <w:trPr>
          <w:trHeight w:val="541"/>
          <w:jc w:val="center"/>
        </w:trPr>
        <w:tc>
          <w:tcPr>
            <w:tcW w:w="9648" w:type="dxa"/>
            <w:gridSpan w:val="11"/>
            <w:tcBorders>
              <w:top w:val="single" w:sz="4" w:space="0" w:color="auto"/>
              <w:bottom w:val="nil"/>
            </w:tcBorders>
            <w:vAlign w:val="center"/>
          </w:tcPr>
          <w:p w14:paraId="45592EB7" w14:textId="77777777" w:rsidR="009E444E" w:rsidRPr="004D292B" w:rsidRDefault="009E444E" w:rsidP="00F824C8">
            <w:pPr>
              <w:pStyle w:val="Bibliography"/>
              <w:spacing w:line="240" w:lineRule="auto"/>
              <w:ind w:left="0" w:firstLine="0"/>
              <w:rPr>
                <w:lang w:val="en-GB"/>
              </w:rPr>
            </w:pPr>
            <w:r w:rsidRPr="004D292B">
              <w:rPr>
                <w:i/>
                <w:iCs/>
                <w:lang w:val="en-GB"/>
              </w:rPr>
              <w:t>Note.</w:t>
            </w:r>
            <w:r w:rsidRPr="004D292B">
              <w:rPr>
                <w:lang w:val="en-GB"/>
              </w:rPr>
              <w:t xml:space="preserve"> </w:t>
            </w:r>
            <w:r w:rsidRPr="004D292B">
              <w:rPr>
                <w:rFonts w:ascii="Cambria Math" w:hAnsi="Cambria Math" w:cs="Cambria Math"/>
                <w:lang w:val="it-IT"/>
              </w:rPr>
              <w:t>𝛾</w:t>
            </w:r>
            <w:r w:rsidRPr="004D292B">
              <w:rPr>
                <w:lang w:val="en-GB"/>
              </w:rPr>
              <w:t xml:space="preserve">1 = </w:t>
            </w:r>
            <w:r w:rsidRPr="004D292B">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24"/>
      <w:bookmarkEnd w:id="26"/>
      <w:bookmarkEnd w:id="57"/>
    </w:tbl>
    <w:p w14:paraId="11C8A88E" w14:textId="77777777" w:rsidR="002B6180" w:rsidRPr="004D292B" w:rsidRDefault="002B6180" w:rsidP="009E444E">
      <w:pPr>
        <w:pStyle w:val="Bibliography"/>
        <w:ind w:left="0" w:firstLine="0"/>
      </w:pPr>
    </w:p>
    <w:sectPr w:rsidR="002B6180" w:rsidRPr="004D292B" w:rsidSect="00084144">
      <w:headerReference w:type="even" r:id="rId14"/>
      <w:headerReference w:type="default" r:id="rId15"/>
      <w:headerReference w:type="first" r:id="rId16"/>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9AFFC" w14:textId="77777777" w:rsidR="003C28A9" w:rsidRDefault="003C28A9">
      <w:pPr>
        <w:spacing w:before="0" w:after="0" w:line="240" w:lineRule="auto"/>
      </w:pPr>
      <w:r>
        <w:separator/>
      </w:r>
    </w:p>
  </w:endnote>
  <w:endnote w:type="continuationSeparator" w:id="0">
    <w:p w14:paraId="12F72D5E" w14:textId="77777777" w:rsidR="003C28A9" w:rsidRDefault="003C28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C6B6" w14:textId="77777777" w:rsidR="003C28A9" w:rsidRDefault="003C28A9">
      <w:r>
        <w:separator/>
      </w:r>
    </w:p>
  </w:footnote>
  <w:footnote w:type="continuationSeparator" w:id="0">
    <w:p w14:paraId="4985393B" w14:textId="77777777" w:rsidR="003C28A9" w:rsidRDefault="003C28A9">
      <w:r>
        <w:continuationSeparator/>
      </w:r>
    </w:p>
  </w:footnote>
  <w:footnote w:id="1">
    <w:p w14:paraId="4CF82095" w14:textId="459F1E29" w:rsidR="009716BC" w:rsidRPr="00CA4080" w:rsidRDefault="009716BC">
      <w:pPr>
        <w:pStyle w:val="FootnoteText"/>
        <w:rPr>
          <w:lang w:val="en-GB"/>
        </w:rPr>
      </w:pPr>
      <w:r>
        <w:rPr>
          <w:rStyle w:val="FootnoteReference"/>
        </w:rPr>
        <w:footnoteRef/>
      </w:r>
      <w:r>
        <w:t xml:space="preserve"> </w:t>
      </w:r>
      <w:r w:rsidR="00876910" w:rsidRPr="00876910">
        <w:t>Table S9 in the Supplementary Materials provides a summary of the definition, physiological basis, and psychological significance of the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077EC0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B664"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E1AD6A0"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89DA8"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126E9A0"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D56F2"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67655"/>
    <w:rsid w:val="00097530"/>
    <w:rsid w:val="000C583F"/>
    <w:rsid w:val="000D553E"/>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30965"/>
    <w:rsid w:val="00256B63"/>
    <w:rsid w:val="00261415"/>
    <w:rsid w:val="002A047E"/>
    <w:rsid w:val="002A12F6"/>
    <w:rsid w:val="002A1920"/>
    <w:rsid w:val="002A6458"/>
    <w:rsid w:val="002B6180"/>
    <w:rsid w:val="002D5A52"/>
    <w:rsid w:val="002D673D"/>
    <w:rsid w:val="002E7141"/>
    <w:rsid w:val="002F2E24"/>
    <w:rsid w:val="002F6AC7"/>
    <w:rsid w:val="003040DA"/>
    <w:rsid w:val="00337F4B"/>
    <w:rsid w:val="00340C8C"/>
    <w:rsid w:val="00340CC1"/>
    <w:rsid w:val="00346B23"/>
    <w:rsid w:val="00347F06"/>
    <w:rsid w:val="003506A6"/>
    <w:rsid w:val="00357670"/>
    <w:rsid w:val="00361E92"/>
    <w:rsid w:val="00364156"/>
    <w:rsid w:val="0036596D"/>
    <w:rsid w:val="0036599D"/>
    <w:rsid w:val="00370F75"/>
    <w:rsid w:val="00381224"/>
    <w:rsid w:val="00393222"/>
    <w:rsid w:val="00396E5B"/>
    <w:rsid w:val="003A127E"/>
    <w:rsid w:val="003B01C3"/>
    <w:rsid w:val="003B4579"/>
    <w:rsid w:val="003C28A9"/>
    <w:rsid w:val="003D6451"/>
    <w:rsid w:val="003F7277"/>
    <w:rsid w:val="004140CD"/>
    <w:rsid w:val="00423ED7"/>
    <w:rsid w:val="004246AB"/>
    <w:rsid w:val="004346C5"/>
    <w:rsid w:val="00445C66"/>
    <w:rsid w:val="004666F0"/>
    <w:rsid w:val="0047520D"/>
    <w:rsid w:val="004A49F5"/>
    <w:rsid w:val="004D292B"/>
    <w:rsid w:val="004E02DE"/>
    <w:rsid w:val="004E1F0E"/>
    <w:rsid w:val="004E770E"/>
    <w:rsid w:val="004F11CD"/>
    <w:rsid w:val="00504265"/>
    <w:rsid w:val="0050434F"/>
    <w:rsid w:val="00507157"/>
    <w:rsid w:val="00513A45"/>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0626"/>
    <w:rsid w:val="006714AD"/>
    <w:rsid w:val="006837F8"/>
    <w:rsid w:val="00687EE9"/>
    <w:rsid w:val="00694B38"/>
    <w:rsid w:val="006A3F0B"/>
    <w:rsid w:val="006B245C"/>
    <w:rsid w:val="006B4640"/>
    <w:rsid w:val="006F0EBF"/>
    <w:rsid w:val="00700453"/>
    <w:rsid w:val="00700AA9"/>
    <w:rsid w:val="00701831"/>
    <w:rsid w:val="00710381"/>
    <w:rsid w:val="00733721"/>
    <w:rsid w:val="0073531A"/>
    <w:rsid w:val="007402A5"/>
    <w:rsid w:val="007743D5"/>
    <w:rsid w:val="00781E9B"/>
    <w:rsid w:val="00791ED3"/>
    <w:rsid w:val="007C369C"/>
    <w:rsid w:val="007C7BF4"/>
    <w:rsid w:val="007F3A21"/>
    <w:rsid w:val="007F78E9"/>
    <w:rsid w:val="008062ED"/>
    <w:rsid w:val="00813ABF"/>
    <w:rsid w:val="00840E58"/>
    <w:rsid w:val="0084317D"/>
    <w:rsid w:val="0084386D"/>
    <w:rsid w:val="00843AA2"/>
    <w:rsid w:val="00843E3B"/>
    <w:rsid w:val="00852A21"/>
    <w:rsid w:val="00876910"/>
    <w:rsid w:val="008859C2"/>
    <w:rsid w:val="0089319A"/>
    <w:rsid w:val="008A0051"/>
    <w:rsid w:val="008B4AD4"/>
    <w:rsid w:val="008B534B"/>
    <w:rsid w:val="008C0DAD"/>
    <w:rsid w:val="008D249F"/>
    <w:rsid w:val="008F57A1"/>
    <w:rsid w:val="00907E49"/>
    <w:rsid w:val="00917776"/>
    <w:rsid w:val="00954FDB"/>
    <w:rsid w:val="009640E1"/>
    <w:rsid w:val="009716BC"/>
    <w:rsid w:val="00981DBB"/>
    <w:rsid w:val="009833A0"/>
    <w:rsid w:val="0098588B"/>
    <w:rsid w:val="009905F6"/>
    <w:rsid w:val="009A6D26"/>
    <w:rsid w:val="009B2DFA"/>
    <w:rsid w:val="009C25C2"/>
    <w:rsid w:val="009C2C5A"/>
    <w:rsid w:val="009E444E"/>
    <w:rsid w:val="009E6C2E"/>
    <w:rsid w:val="00A07698"/>
    <w:rsid w:val="00A15DC0"/>
    <w:rsid w:val="00A24D6B"/>
    <w:rsid w:val="00A32DC2"/>
    <w:rsid w:val="00A412A9"/>
    <w:rsid w:val="00A45AC2"/>
    <w:rsid w:val="00A50953"/>
    <w:rsid w:val="00A65ABB"/>
    <w:rsid w:val="00A65D75"/>
    <w:rsid w:val="00A717C0"/>
    <w:rsid w:val="00A95B31"/>
    <w:rsid w:val="00AA7826"/>
    <w:rsid w:val="00AB0DF8"/>
    <w:rsid w:val="00AB66E5"/>
    <w:rsid w:val="00AC324C"/>
    <w:rsid w:val="00AC7DE7"/>
    <w:rsid w:val="00AD01D9"/>
    <w:rsid w:val="00AD32DE"/>
    <w:rsid w:val="00AE5F62"/>
    <w:rsid w:val="00AF5716"/>
    <w:rsid w:val="00AF6C9C"/>
    <w:rsid w:val="00B2233C"/>
    <w:rsid w:val="00B4738F"/>
    <w:rsid w:val="00B57645"/>
    <w:rsid w:val="00B7584E"/>
    <w:rsid w:val="00B806D3"/>
    <w:rsid w:val="00B87AEE"/>
    <w:rsid w:val="00B94CA1"/>
    <w:rsid w:val="00BA3294"/>
    <w:rsid w:val="00BD274E"/>
    <w:rsid w:val="00BE0AE5"/>
    <w:rsid w:val="00BE3EE6"/>
    <w:rsid w:val="00BE4860"/>
    <w:rsid w:val="00BF6AA8"/>
    <w:rsid w:val="00C025B9"/>
    <w:rsid w:val="00C2670C"/>
    <w:rsid w:val="00C27EDE"/>
    <w:rsid w:val="00C361A1"/>
    <w:rsid w:val="00C71869"/>
    <w:rsid w:val="00C767F7"/>
    <w:rsid w:val="00C827AE"/>
    <w:rsid w:val="00C83CB2"/>
    <w:rsid w:val="00C85F6B"/>
    <w:rsid w:val="00C92542"/>
    <w:rsid w:val="00CA4080"/>
    <w:rsid w:val="00CA57CA"/>
    <w:rsid w:val="00CB1494"/>
    <w:rsid w:val="00CB2268"/>
    <w:rsid w:val="00CC1070"/>
    <w:rsid w:val="00CC18E9"/>
    <w:rsid w:val="00CC4A16"/>
    <w:rsid w:val="00CC7A03"/>
    <w:rsid w:val="00CF037A"/>
    <w:rsid w:val="00D11693"/>
    <w:rsid w:val="00D22A98"/>
    <w:rsid w:val="00D251E8"/>
    <w:rsid w:val="00D3677D"/>
    <w:rsid w:val="00D4503B"/>
    <w:rsid w:val="00D455EF"/>
    <w:rsid w:val="00D85DA6"/>
    <w:rsid w:val="00D96A45"/>
    <w:rsid w:val="00DA408E"/>
    <w:rsid w:val="00DA485B"/>
    <w:rsid w:val="00DA4E4A"/>
    <w:rsid w:val="00DA6CE0"/>
    <w:rsid w:val="00DB7822"/>
    <w:rsid w:val="00DC5247"/>
    <w:rsid w:val="00DE20E3"/>
    <w:rsid w:val="00DE4313"/>
    <w:rsid w:val="00DF5E01"/>
    <w:rsid w:val="00DF61D6"/>
    <w:rsid w:val="00E07525"/>
    <w:rsid w:val="00E60A17"/>
    <w:rsid w:val="00EA0CD4"/>
    <w:rsid w:val="00EE40D4"/>
    <w:rsid w:val="00F21191"/>
    <w:rsid w:val="00F25B31"/>
    <w:rsid w:val="00F279E1"/>
    <w:rsid w:val="00F31B3C"/>
    <w:rsid w:val="00F3454C"/>
    <w:rsid w:val="00F361BE"/>
    <w:rsid w:val="00F40FFE"/>
    <w:rsid w:val="00F43B69"/>
    <w:rsid w:val="00F50C2B"/>
    <w:rsid w:val="00F52F0C"/>
    <w:rsid w:val="00F67F74"/>
    <w:rsid w:val="00FC1A27"/>
    <w:rsid w:val="00FC4BBE"/>
    <w:rsid w:val="00FD3D66"/>
    <w:rsid w:val="00FD3E94"/>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9B2"/>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 w:type="character" w:styleId="Emphasis">
    <w:name w:val="Emphasis"/>
    <w:basedOn w:val="DefaultParagraphFont"/>
    <w:uiPriority w:val="20"/>
    <w:qFormat/>
    <w:rsid w:val="00A45AC2"/>
    <w:rPr>
      <w:i/>
      <w:iCs/>
    </w:rPr>
  </w:style>
  <w:style w:type="paragraph" w:styleId="HTMLPreformatted">
    <w:name w:val="HTML Preformatted"/>
    <w:basedOn w:val="Normal"/>
    <w:link w:val="HTMLPreformattedChar"/>
    <w:semiHidden/>
    <w:unhideWhenUsed/>
    <w:rsid w:val="007F3A21"/>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7F3A21"/>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3/A:102366132286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07/s15366359mea0204_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37/emo0001598"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psychiatry.org/getmedia/594673a6-1b9b-4298-8b52-c4c652c4a4e2/APA-DSM5TR-ThePersonalityInventoryForDSM5FullVersionAdult.pdf" TargetMode="External"/><Relationship Id="rId4" Type="http://schemas.openxmlformats.org/officeDocument/2006/relationships/settings" Target="settings.xml"/><Relationship Id="rId9" Type="http://schemas.openxmlformats.org/officeDocument/2006/relationships/hyperlink" Target="https://osf.io/cfasv/overview?view_only=871dcb5155b04b3ba17bc74c82e5cfb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43</Pages>
  <Words>10363</Words>
  <Characters>59072</Characters>
  <Application>Microsoft Office Word</Application>
  <DocSecurity>0</DocSecurity>
  <Lines>492</Lines>
  <Paragraphs>138</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69297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27</cp:revision>
  <dcterms:created xsi:type="dcterms:W3CDTF">2026-06-16T02:55:00Z</dcterms:created>
  <dcterms:modified xsi:type="dcterms:W3CDTF">2026-07-01T14:08:00Z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