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925DE" w14:textId="77777777" w:rsidR="00817ABD" w:rsidRDefault="00817ABD" w:rsidP="00817ABD">
      <w:pPr>
        <w:spacing w:line="480" w:lineRule="auto"/>
        <w:ind w:firstLine="0"/>
        <w:rPr>
          <w:rFonts w:ascii="Arial" w:hAnsi="Arial" w:cs="Arial"/>
          <w:b/>
          <w:bCs/>
        </w:rPr>
      </w:pPr>
      <w:r>
        <w:rPr>
          <w:rFonts w:ascii="Arial" w:hAnsi="Arial" w:cs="Arial"/>
          <w:b/>
          <w:bCs/>
        </w:rPr>
        <w:t>SUPPLEMENTAL M</w:t>
      </w:r>
      <w:r w:rsidRPr="0025348D">
        <w:rPr>
          <w:rFonts w:ascii="Arial" w:hAnsi="Arial" w:cs="Arial"/>
          <w:b/>
          <w:bCs/>
        </w:rPr>
        <w:t>ETHODS</w:t>
      </w:r>
    </w:p>
    <w:p w14:paraId="3F0EA8F7" w14:textId="77777777" w:rsidR="00817ABD" w:rsidRPr="007E579F" w:rsidRDefault="00817ABD" w:rsidP="00817ABD">
      <w:pPr>
        <w:spacing w:line="480" w:lineRule="auto"/>
        <w:ind w:firstLine="0"/>
        <w:rPr>
          <w:rFonts w:ascii="Arial" w:hAnsi="Arial" w:cs="Arial"/>
          <w:b/>
          <w:bCs/>
          <w:i/>
          <w:iCs/>
        </w:rPr>
      </w:pPr>
      <w:r w:rsidRPr="007E579F">
        <w:rPr>
          <w:rFonts w:ascii="Arial" w:hAnsi="Arial" w:cs="Arial"/>
          <w:b/>
          <w:bCs/>
          <w:i/>
          <w:iCs/>
        </w:rPr>
        <w:t>Pipeline Overview</w:t>
      </w:r>
    </w:p>
    <w:p w14:paraId="3074D41D" w14:textId="77777777" w:rsidR="00817ABD" w:rsidRDefault="00817ABD" w:rsidP="00817ABD">
      <w:pPr>
        <w:spacing w:line="480" w:lineRule="auto"/>
        <w:ind w:firstLine="720"/>
        <w:rPr>
          <w:rFonts w:ascii="Arial" w:hAnsi="Arial" w:cs="Arial"/>
        </w:rPr>
      </w:pPr>
      <w:r>
        <w:rPr>
          <w:rFonts w:ascii="Arial" w:hAnsi="Arial" w:cs="Arial"/>
        </w:rPr>
        <w:t xml:space="preserve">The </w:t>
      </w:r>
      <w:proofErr w:type="spellStart"/>
      <w:r w:rsidRPr="0025348D">
        <w:rPr>
          <w:rFonts w:ascii="Arial" w:hAnsi="Arial" w:cs="Arial"/>
        </w:rPr>
        <w:t>MutantHunt</w:t>
      </w:r>
      <w:r>
        <w:rPr>
          <w:rFonts w:ascii="Arial" w:hAnsi="Arial" w:cs="Arial"/>
        </w:rPr>
        <w:t>WGS</w:t>
      </w:r>
      <w:proofErr w:type="spellEnd"/>
      <w:r>
        <w:rPr>
          <w:rFonts w:ascii="Arial" w:hAnsi="Arial" w:cs="Arial"/>
        </w:rPr>
        <w:t xml:space="preserve"> pipeline integrates a series of open-source bioinformatics tools and </w:t>
      </w:r>
      <w:r w:rsidRPr="0012008F">
        <w:rPr>
          <w:rFonts w:ascii="Arial" w:hAnsi="Arial" w:cs="Arial"/>
        </w:rPr>
        <w:t>Unix</w:t>
      </w:r>
      <w:r w:rsidRPr="00FF7DB9">
        <w:rPr>
          <w:rFonts w:ascii="Arial" w:hAnsi="Arial" w:cs="Arial"/>
        </w:rPr>
        <w:t xml:space="preserve"> </w:t>
      </w:r>
      <w:r>
        <w:rPr>
          <w:rFonts w:ascii="Arial" w:hAnsi="Arial" w:cs="Arial"/>
        </w:rPr>
        <w:t xml:space="preserve">commands that accept raw sequencing reads (compressed FASTQ format </w:t>
      </w:r>
      <w:proofErr w:type="gramStart"/>
      <w:r>
        <w:rPr>
          <w:rFonts w:ascii="Arial" w:hAnsi="Arial" w:cs="Arial"/>
        </w:rPr>
        <w:t>or .</w:t>
      </w:r>
      <w:proofErr w:type="gramEnd"/>
      <w:r>
        <w:rPr>
          <w:rFonts w:ascii="Arial" w:hAnsi="Arial" w:cs="Arial"/>
        </w:rPr>
        <w:t xml:space="preserve">fastq.gz) and a text file containing ploidy information as input, and produces a list of sequence variants as output. The user must provide input data from at least two strains: a control strain and one or more experimental strains. The pipeline uses (1) Bowtie2 to align the reads in each input sample to the reference genome </w:t>
      </w:r>
      <w:r>
        <w:rPr>
          <w:rFonts w:ascii="Arial" w:hAnsi="Arial" w:cs="Arial"/>
        </w:rPr>
        <w:fldChar w:fldCharType="begin" w:fldLock="1"/>
      </w:r>
      <w:r>
        <w:rPr>
          <w:rFonts w:ascii="Arial" w:hAnsi="Arial" w:cs="Arial"/>
        </w:rP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2","type":"article-journal","volume":"9"},"uris":["http://www.mendeley.com/documents/?uuid=0694f7c3-fde6-4903-9586-6249a19de0ec"]}],"mendeley":{"formattedCitation":"(Langmead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Arial" w:hAnsi="Arial" w:cs="Arial"/>
        </w:rPr>
        <w:fldChar w:fldCharType="separate"/>
      </w:r>
      <w:r w:rsidRPr="00A16D14">
        <w:rPr>
          <w:rFonts w:ascii="Arial" w:hAnsi="Arial" w:cs="Arial"/>
          <w:noProof/>
        </w:rPr>
        <w:t>(Langmead and Salzberg 2012)</w:t>
      </w:r>
      <w:r>
        <w:rPr>
          <w:rFonts w:ascii="Arial" w:hAnsi="Arial" w:cs="Arial"/>
        </w:rPr>
        <w:fldChar w:fldCharType="end"/>
      </w:r>
      <w:r>
        <w:rPr>
          <w:rFonts w:ascii="Arial" w:hAnsi="Arial" w:cs="Arial"/>
        </w:rPr>
        <w:t xml:space="preserve">, (2) </w:t>
      </w:r>
      <w:proofErr w:type="spellStart"/>
      <w:r>
        <w:rPr>
          <w:rFonts w:ascii="Arial" w:hAnsi="Arial" w:cs="Arial"/>
        </w:rPr>
        <w:t>SAMtools</w:t>
      </w:r>
      <w:proofErr w:type="spellEnd"/>
      <w:r>
        <w:rPr>
          <w:rFonts w:ascii="Arial" w:hAnsi="Arial" w:cs="Arial"/>
        </w:rPr>
        <w:t xml:space="preserve"> to process the data and calculate genotype likelihoods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Pr>
          <w:rFonts w:ascii="Arial" w:hAnsi="Arial" w:cs="Arial"/>
        </w:rPr>
        <w:t xml:space="preserve">, (3) </w:t>
      </w:r>
      <w:proofErr w:type="spellStart"/>
      <w:r>
        <w:rPr>
          <w:rFonts w:ascii="Arial" w:hAnsi="Arial" w:cs="Arial"/>
        </w:rPr>
        <w:t>BCFtools</w:t>
      </w:r>
      <w:proofErr w:type="spellEnd"/>
      <w:r>
        <w:rPr>
          <w:rFonts w:ascii="Arial" w:hAnsi="Arial" w:cs="Arial"/>
        </w:rPr>
        <w:t xml:space="preserve"> to call variants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Pr>
          <w:rFonts w:ascii="Arial" w:hAnsi="Arial" w:cs="Arial"/>
        </w:rPr>
        <w:t xml:space="preserve">, (4) </w:t>
      </w:r>
      <w:proofErr w:type="spellStart"/>
      <w:r>
        <w:rPr>
          <w:rFonts w:ascii="Arial" w:hAnsi="Arial" w:cs="Arial"/>
        </w:rPr>
        <w:t>VCFtools</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(Danecek </w:t>
      </w:r>
      <w:r w:rsidRPr="00A16D14">
        <w:rPr>
          <w:rFonts w:ascii="Arial" w:hAnsi="Arial" w:cs="Arial"/>
          <w:i/>
          <w:noProof/>
        </w:rPr>
        <w:t>et al.</w:t>
      </w:r>
      <w:r w:rsidRPr="00A16D14">
        <w:rPr>
          <w:rFonts w:ascii="Arial" w:hAnsi="Arial" w:cs="Arial"/>
          <w:noProof/>
        </w:rPr>
        <w:t xml:space="preserve"> 2011)</w:t>
      </w:r>
      <w:r>
        <w:rPr>
          <w:rFonts w:ascii="Arial" w:hAnsi="Arial" w:cs="Arial"/>
        </w:rPr>
        <w:fldChar w:fldCharType="end"/>
      </w:r>
      <w:r>
        <w:rPr>
          <w:rFonts w:ascii="Arial" w:hAnsi="Arial" w:cs="Arial"/>
        </w:rPr>
        <w:t xml:space="preserve"> and custom shell commands to compare variants found in experimental and control strains, and (5) </w:t>
      </w:r>
      <w:proofErr w:type="spellStart"/>
      <w:r>
        <w:rPr>
          <w:rFonts w:ascii="Arial" w:hAnsi="Arial" w:cs="Arial"/>
        </w:rPr>
        <w:t>SnpEff</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(Cingolani </w:t>
      </w:r>
      <w:r w:rsidRPr="00A16D14">
        <w:rPr>
          <w:rFonts w:ascii="Arial" w:hAnsi="Arial" w:cs="Arial"/>
          <w:i/>
          <w:noProof/>
        </w:rPr>
        <w:t>et al.</w:t>
      </w:r>
      <w:r w:rsidRPr="00A16D14">
        <w:rPr>
          <w:rFonts w:ascii="Arial" w:hAnsi="Arial" w:cs="Arial"/>
          <w:noProof/>
        </w:rPr>
        <w:t xml:space="preserve"> 2012)</w:t>
      </w:r>
      <w:r>
        <w:rPr>
          <w:rFonts w:ascii="Arial" w:hAnsi="Arial" w:cs="Arial"/>
        </w:rPr>
        <w:fldChar w:fldCharType="end"/>
      </w:r>
      <w:r>
        <w:rPr>
          <w:rFonts w:ascii="Arial" w:hAnsi="Arial" w:cs="Arial"/>
        </w:rPr>
        <w:t xml:space="preserve"> and SIFT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(Vaser </w:t>
      </w:r>
      <w:r w:rsidRPr="00A16D14">
        <w:rPr>
          <w:rFonts w:ascii="Arial" w:hAnsi="Arial" w:cs="Arial"/>
          <w:i/>
          <w:noProof/>
        </w:rPr>
        <w:t>et al.</w:t>
      </w:r>
      <w:r w:rsidRPr="00A16D14">
        <w:rPr>
          <w:rFonts w:ascii="Arial" w:hAnsi="Arial" w:cs="Arial"/>
          <w:noProof/>
        </w:rPr>
        <w:t xml:space="preserve"> 2016)</w:t>
      </w:r>
      <w:r>
        <w:rPr>
          <w:rFonts w:ascii="Arial" w:hAnsi="Arial" w:cs="Arial"/>
        </w:rPr>
        <w:fldChar w:fldCharType="end"/>
      </w:r>
      <w:r>
        <w:rPr>
          <w:rFonts w:ascii="Arial" w:hAnsi="Arial" w:cs="Arial"/>
        </w:rPr>
        <w:t xml:space="preserve"> to assess where variants are found in relation to annotated genes and the potential impact on the expression and function of the affected gene </w:t>
      </w:r>
      <w:r w:rsidRPr="00A16D14">
        <w:rPr>
          <w:rFonts w:ascii="Arial" w:hAnsi="Arial" w:cs="Arial"/>
        </w:rPr>
        <w:t>products</w:t>
      </w:r>
      <w:r>
        <w:rPr>
          <w:rFonts w:ascii="Arial" w:hAnsi="Arial" w:cs="Arial"/>
        </w:rPr>
        <w:t xml:space="preserve"> (see Figure 1 in main paper).</w:t>
      </w:r>
    </w:p>
    <w:p w14:paraId="0CFA21D9" w14:textId="77777777" w:rsidR="00817ABD" w:rsidRPr="007E579F" w:rsidRDefault="00817ABD" w:rsidP="00817ABD">
      <w:pPr>
        <w:spacing w:line="480" w:lineRule="auto"/>
        <w:rPr>
          <w:rFonts w:ascii="Arial" w:hAnsi="Arial" w:cs="Arial"/>
        </w:rPr>
      </w:pPr>
    </w:p>
    <w:p w14:paraId="72F135FB" w14:textId="77777777" w:rsidR="00817ABD" w:rsidRPr="0025348D" w:rsidRDefault="00817ABD" w:rsidP="00817ABD">
      <w:pPr>
        <w:spacing w:line="480" w:lineRule="auto"/>
        <w:ind w:firstLine="0"/>
        <w:rPr>
          <w:rFonts w:ascii="Arial" w:hAnsi="Arial" w:cs="Arial"/>
          <w:b/>
          <w:bCs/>
          <w:i/>
          <w:iCs/>
        </w:rPr>
      </w:pPr>
      <w:r>
        <w:rPr>
          <w:rFonts w:ascii="Arial" w:hAnsi="Arial" w:cs="Arial"/>
          <w:b/>
          <w:bCs/>
          <w:i/>
          <w:iCs/>
        </w:rPr>
        <w:t xml:space="preserve">Sequence </w:t>
      </w:r>
      <w:r w:rsidRPr="0025348D">
        <w:rPr>
          <w:rFonts w:ascii="Arial" w:hAnsi="Arial" w:cs="Arial"/>
          <w:b/>
          <w:bCs/>
          <w:i/>
          <w:iCs/>
        </w:rPr>
        <w:t>Alignment</w:t>
      </w:r>
    </w:p>
    <w:p w14:paraId="2AB0C835" w14:textId="77777777" w:rsidR="00817ABD" w:rsidRDefault="00817ABD" w:rsidP="00817ABD">
      <w:pPr>
        <w:spacing w:line="480" w:lineRule="auto"/>
        <w:ind w:firstLine="720"/>
        <w:rPr>
          <w:rFonts w:ascii="Arial" w:hAnsi="Arial" w:cs="Arial"/>
        </w:rPr>
      </w:pPr>
      <w:proofErr w:type="spellStart"/>
      <w:r w:rsidRPr="0025348D">
        <w:rPr>
          <w:rFonts w:ascii="Arial" w:hAnsi="Arial" w:cs="Arial"/>
        </w:rPr>
        <w:t>MutantHunt</w:t>
      </w:r>
      <w:r>
        <w:rPr>
          <w:rFonts w:ascii="Arial" w:hAnsi="Arial" w:cs="Arial"/>
        </w:rPr>
        <w:t>WGS</w:t>
      </w:r>
      <w:proofErr w:type="spellEnd"/>
      <w:r w:rsidRPr="0025348D">
        <w:rPr>
          <w:rFonts w:ascii="Arial" w:hAnsi="Arial" w:cs="Arial"/>
        </w:rPr>
        <w:t xml:space="preserve"> uses Bowtie2</w:t>
      </w:r>
      <w:r>
        <w:rPr>
          <w:rFonts w:ascii="Arial" w:hAnsi="Arial" w:cs="Arial"/>
        </w:rPr>
        <w:t xml:space="preserve"> version 2.2.9 </w:t>
      </w:r>
      <w:r>
        <w:rPr>
          <w:rFonts w:ascii="Arial" w:hAnsi="Arial" w:cs="Arial"/>
        </w:rPr>
        <w:fldChar w:fldCharType="begin" w:fldLock="1"/>
      </w:r>
      <w:r>
        <w:rPr>
          <w:rFonts w:ascii="Arial" w:hAnsi="Arial" w:cs="Arial"/>
        </w:rP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2","type":"article-journal","volume":"9"},"uris":["http://www.mendeley.com/documents/?uuid=0694f7c3-fde6-4903-9586-6249a19de0ec"]}],"mendeley":{"formattedCitation":"(Langmead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Arial" w:hAnsi="Arial" w:cs="Arial"/>
        </w:rPr>
        <w:fldChar w:fldCharType="separate"/>
      </w:r>
      <w:r w:rsidRPr="00084154">
        <w:rPr>
          <w:rFonts w:ascii="Arial" w:hAnsi="Arial" w:cs="Arial"/>
          <w:noProof/>
        </w:rPr>
        <w:t>(Langmead and Salzberg 2012)</w:t>
      </w:r>
      <w:r>
        <w:rPr>
          <w:rFonts w:ascii="Arial" w:hAnsi="Arial" w:cs="Arial"/>
        </w:rPr>
        <w:fldChar w:fldCharType="end"/>
      </w:r>
      <w:r>
        <w:rPr>
          <w:rFonts w:ascii="Arial" w:hAnsi="Arial" w:cs="Arial"/>
        </w:rPr>
        <w:t xml:space="preserve"> </w:t>
      </w:r>
      <w:r w:rsidRPr="0025348D">
        <w:rPr>
          <w:rFonts w:ascii="Arial" w:hAnsi="Arial" w:cs="Arial"/>
        </w:rPr>
        <w:t xml:space="preserve">to </w:t>
      </w:r>
      <w:r>
        <w:rPr>
          <w:rFonts w:ascii="Arial" w:hAnsi="Arial" w:cs="Arial"/>
        </w:rPr>
        <w:t xml:space="preserve">first </w:t>
      </w:r>
      <w:r w:rsidRPr="0025348D">
        <w:rPr>
          <w:rFonts w:ascii="Arial" w:hAnsi="Arial" w:cs="Arial"/>
        </w:rPr>
        <w:t>align the</w:t>
      </w:r>
      <w:r>
        <w:rPr>
          <w:rFonts w:ascii="Arial" w:hAnsi="Arial" w:cs="Arial"/>
        </w:rPr>
        <w:t xml:space="preserve"> r</w:t>
      </w:r>
      <w:r w:rsidRPr="007E3C57">
        <w:rPr>
          <w:rFonts w:ascii="Arial" w:hAnsi="Arial" w:cs="Arial"/>
        </w:rPr>
        <w:t xml:space="preserve">aw reads </w:t>
      </w:r>
      <w:r>
        <w:rPr>
          <w:rFonts w:ascii="Arial" w:hAnsi="Arial" w:cs="Arial"/>
        </w:rPr>
        <w:t xml:space="preserve">present in the input FASTQ files </w:t>
      </w:r>
      <w:r w:rsidRPr="007E3C57">
        <w:rPr>
          <w:rFonts w:ascii="Arial" w:hAnsi="Arial" w:cs="Arial"/>
          <w:color w:val="000000"/>
        </w:rPr>
        <w:t xml:space="preserve">to the </w:t>
      </w:r>
      <w:r w:rsidRPr="007E3C57">
        <w:rPr>
          <w:rFonts w:ascii="Arial" w:hAnsi="Arial" w:cs="Arial"/>
          <w:i/>
          <w:color w:val="000000"/>
        </w:rPr>
        <w:t xml:space="preserve">S. cerevisiae </w:t>
      </w:r>
      <w:r w:rsidRPr="007E3C57">
        <w:rPr>
          <w:rFonts w:ascii="Arial" w:hAnsi="Arial" w:cs="Arial"/>
          <w:color w:val="000000"/>
        </w:rPr>
        <w:t xml:space="preserve">genome (S288C version = R64-2-1) </w:t>
      </w:r>
      <w:r w:rsidRPr="007E3C57">
        <w:rPr>
          <w:rFonts w:ascii="Arial" w:hAnsi="Arial" w:cs="Arial"/>
          <w:color w:val="000000"/>
        </w:rPr>
        <w:fldChar w:fldCharType="begin" w:fldLock="1"/>
      </w:r>
      <w:r>
        <w:rPr>
          <w:rFonts w:ascii="Arial" w:hAnsi="Arial" w:cs="Arial"/>
          <w:color w:val="000000"/>
        </w:rPr>
        <w:instrText>ADDIN CSL_CITATION {"citationItems":[{"id":"ITEM-1","itemData":{"DOI":"10.1534/g3.113.008995","ISBN":"2160-1836 (Electronic)\\r2160-1836 (Linking)","ISSN":"2160-1836","PMID":"24374639","abstract":"The genome of the budding yeast Saccharomyces cerevisiae was the first completely sequenced from a eukaryote. It was released in 1996 as the work of a worldwide effort of hundreds of researchers. In the time since, the yeast genome has been intensively studied by geneticists, molecular biologists, and computational scientists all over the world. Maintenance and annotation of the genome sequence have long been provided by the Saccharomyces Genome Database, one of the original model organism databases. To deepen our understanding of the eukaryotic genome, the S. cerevisiae strain S288C reference genome sequence was updated recently in its first major update since 1996. The new version, called \"S288C 2010,\" was determined from a single yeast colony using modern sequencing technologies and serves as the anchor for further innovations in yeast genomic science.","author":[{"dropping-particle":"","family":"Engel","given":"Stacia R","non-dropping-particle":"","parse-names":false,"suffix":""},{"dropping-particle":"","family":"Dietrich","given":"Fred S","non-dropping-particle":"","parse-names":false,"suffix":""},{"dropping-particle":"","family":"Fisk","given":"Dianna G","non-dropping-particle":"","parse-names":false,"suffix":""},{"dropping-particle":"","family":"Binkley","given":"Gail","non-dropping-particle":"","parse-names":false,"suffix":""},{"dropping-particle":"","family":"Balakrishnan","given":"Rama","non-dropping-particle":"","parse-names":false,"suffix":""},{"dropping-particle":"","family":"Costanzo","given":"Maria C","non-dropping-particle":"","parse-names":false,"suffix":""},{"dropping-particle":"","family":"Dwight","given":"Selina S","non-dropping-particle":"","parse-names":false,"suffix":""},{"dropping-particle":"","family":"Hitz","given":"Benjamin C","non-dropping-particle":"","parse-names":false,"suffix":""},{"dropping-particle":"","family":"Karra","given":"Kalpana","non-dropping-particle":"","parse-names":false,"suffix":""},{"dropping-particle":"","family":"Nash","given":"Robert S","non-dropping-particle":"","parse-names":false,"suffix":""},{"dropping-particle":"","family":"Weng","given":"Shuai","non-dropping-particle":"","parse-names":false,"suffix":""},{"dropping-particle":"","family":"Wong","given":"Edith D","non-dropping-particle":"","parse-names":false,"suffix":""},{"dropping-particle":"","family":"Lloyd","given":"Paul","non-dropping-particle":"","parse-names":false,"suffix":""},{"dropping-particle":"","family":"Skrzypek","given":"Marek S","non-dropping-particle":"","parse-names":false,"suffix":""},{"dropping-particle":"","family":"Miyasato","given":"Stuart R","non-dropping-particle":"","parse-names":false,"suffix":""},{"dropping-particle":"","family":"Simison","given":"Matt","non-dropping-particle":"","parse-names":false,"suffix":""},{"dropping-particle":"","family":"Cherry","given":"J Michael","non-dropping-particle":"","parse-names":false,"suffix":""}],"container-title":"G3 (Bethesda, Md.)","id":"ITEM-1","issue":"3","issued":{"date-parts":[["2014"]]},"page":"389-98","title":"The reference genome sequence of Saccharomyces cerevisiae: then and now.","type":"article-journal","volume":"4"},"uris":["http://www.mendeley.com/documents/?uuid=483dc868-9283-47f6-99b5-89bd0ed5aa6b"]},{"id":"ITEM-2","itemData":{"DOI":"10.1093/nar/gkr1029","ISBN":"1362-4962 (Electronic)\\r0305-1048 (Linking)","ISSN":"03051048","PMID":"22110037","abstract":"The Saccharomyces Genome Database (SGD, http://www.yeastgenome.org) is the community resource for the budding yeast Saccharomyces cerevisiae. The SGD project provides the highest-quality manually curated information from peer-reviewed literature. The experimental results reported in the literature are extracted and integrated within a well-developed database. These data are combined with quality high-throughput results and provided through Locus Summary pages, a powerful query engine and rich genome browser. The acquisition, integration and retrieval of these data allow SGD to facilitate experimental design and analysis by providing an encyclopedia of the yeast genome, its chromosomal features, their functions and interactions. Public access to these data is provided to researchers and educators via web pages designed for optimal ease of use.","author":[{"dropping-particle":"","family":"Cherry","given":"J. Michael","non-dropping-particle":"","parse-names":false,"suffix":""},{"dropping-particle":"","family":"Hong","given":"Eurie L.","non-dropping-particle":"","parse-names":false,"suffix":""},{"dropping-particle":"","family":"Amundsen","given":"Craig","non-dropping-particle":"","parse-names":false,"suffix":""},{"dropping-particle":"","family":"Balakrishnan","given":"Rama","non-dropping-particle":"","parse-names":false,"suffix":""},{"dropping-particle":"","family":"Binkley","given":"Gail","non-dropping-particle":"","parse-names":false,"suffix":""},{"dropping-particle":"","family":"Chan","given":"Esther T.","non-dropping-particle":"","parse-names":false,"suffix":""},{"dropping-particle":"","family":"Christie","given":"Karen R.","non-dropping-particle":"","parse-names":false,"suffix":""},{"dropping-particle":"","family":"Costanzo","given":"Maria C.","non-dropping-particle":"","parse-names":false,"suffix":""},{"dropping-particle":"","family":"Dwight","given":"Selina S.","non-dropping-particle":"","parse-names":false,"suffix":""},{"dropping-particle":"","family":"Engel","given":"Stacia R.","non-dropping-particle":"","parse-names":false,"suffix":""},{"dropping-particle":"","family":"Fisk","given":"Dianna G.","non-dropping-particle":"","parse-names":false,"suffix":""},{"dropping-particle":"","family":"Hirschman","given":"Jodi E.","non-dropping-particle":"","parse-names":false,"suffix":""},{"dropping-particle":"","family":"Hitz","given":"Benjamin C.","non-dropping-particle":"","parse-names":false,"suffix":""},{"dropping-particle":"","family":"Karra","given":"Kalpana","non-dropping-particle":"","parse-names":false,"suffix":""},{"dropping-particle":"","family":"Krieger","given":"Cynthia J.","non-dropping-particle":"","parse-names":false,"suffix":""},{"dropping-particle":"","family":"Miyasato","given":"Stuart R.","non-dropping-particle":"","parse-names":false,"suffix":""},{"dropping-particle":"","family":"Nash","given":"Rob S.","non-dropping-particle":"","parse-names":false,"suffix":""},{"dropping-particle":"","family":"Park","given":"Julie","non-dropping-particle":"","parse-names":false,"suffix":""},{"dropping-particle":"","family":"Skrzypek","given":"Marek S.","non-dropping-particle":"","parse-names":false,"suffix":""},{"dropping-particle":"","family":"Simison","given":"Matt","non-dropping-particle":"","parse-names":false,"suffix":""},{"dropping-particle":"","family":"Weng","given":"Shuai","non-dropping-particle":"","parse-names":false,"suffix":""},{"dropping-particle":"","family":"Wong","given":"Edith D.","non-dropping-particle":"","parse-names":false,"suffix":""}],"container-title":"Nucleic Acids Research","id":"ITEM-2","issue":"D1","issued":{"date-parts":[["2012"]]},"page":"1-6","title":"Saccharomyces Genome Database: The genomics resource of budding yeast","type":"article-journal","volume":"40"},"uris":["http://www.mendeley.com/documents/?uuid=5fbf37f7-9feb-4371-b708-885f965fa899"]}],"mendeley":{"formattedCitation":"(Cherry &lt;i&gt;et al.&lt;/i&gt; 2012; Engel &lt;i&gt;et al.&lt;/i&gt; 2014)","plainTextFormattedCitation":"(Cherry et al. 2012; Engel et al. 2014)","previouslyFormattedCitation":"(Cherry &lt;i&gt;et al.&lt;/i&gt; 2012; Engel &lt;i&gt;et al.&lt;/i&gt; 2014)"},"properties":{"noteIndex":0},"schema":"https://github.com/citation-style-language/schema/raw/master/csl-citation.json"}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(Cherry </w:t>
      </w:r>
      <w:r w:rsidRPr="007E3C57">
        <w:rPr>
          <w:rFonts w:ascii="Arial" w:hAnsi="Arial" w:cs="Arial"/>
          <w:i/>
          <w:noProof/>
          <w:color w:val="000000"/>
        </w:rPr>
        <w:t>et al.</w:t>
      </w:r>
      <w:r w:rsidRPr="007E3C57">
        <w:rPr>
          <w:rFonts w:ascii="Arial" w:hAnsi="Arial" w:cs="Arial"/>
          <w:noProof/>
          <w:color w:val="000000"/>
        </w:rPr>
        <w:t xml:space="preserve"> 2012; Engel </w:t>
      </w:r>
      <w:r w:rsidRPr="007E3C57">
        <w:rPr>
          <w:rFonts w:ascii="Arial" w:hAnsi="Arial" w:cs="Arial"/>
          <w:i/>
          <w:noProof/>
          <w:color w:val="000000"/>
        </w:rPr>
        <w:t>et al.</w:t>
      </w:r>
      <w:r w:rsidRPr="007E3C57">
        <w:rPr>
          <w:rFonts w:ascii="Arial" w:hAnsi="Arial" w:cs="Arial"/>
          <w:noProof/>
          <w:color w:val="000000"/>
        </w:rPr>
        <w:t xml:space="preserve"> 2014)</w:t>
      </w:r>
      <w:r w:rsidRPr="007E3C57">
        <w:rPr>
          <w:rFonts w:ascii="Arial" w:hAnsi="Arial" w:cs="Arial"/>
          <w:color w:val="000000"/>
        </w:rPr>
        <w:fldChar w:fldCharType="end"/>
      </w:r>
      <w:r w:rsidRPr="0025348D">
        <w:rPr>
          <w:rFonts w:ascii="Arial" w:hAnsi="Arial" w:cs="Arial"/>
        </w:rPr>
        <w:t xml:space="preserve">. </w:t>
      </w:r>
      <w:r>
        <w:rPr>
          <w:rFonts w:ascii="Arial" w:hAnsi="Arial" w:cs="Arial"/>
        </w:rPr>
        <w:t>As the</w:t>
      </w:r>
      <w:r w:rsidRPr="0025348D">
        <w:rPr>
          <w:rFonts w:ascii="Arial" w:hAnsi="Arial" w:cs="Arial"/>
        </w:rPr>
        <w:t xml:space="preserve"> default,</w:t>
      </w:r>
      <w:r>
        <w:rPr>
          <w:rFonts w:ascii="Arial" w:hAnsi="Arial" w:cs="Arial"/>
        </w:rPr>
        <w:t xml:space="preserve"> we set</w:t>
      </w:r>
      <w:r w:rsidRPr="0025348D">
        <w:rPr>
          <w:rFonts w:ascii="Arial" w:hAnsi="Arial" w:cs="Arial"/>
        </w:rPr>
        <w:t xml:space="preserve"> Bowtie2 </w:t>
      </w:r>
      <w:r>
        <w:rPr>
          <w:rFonts w:ascii="Arial" w:hAnsi="Arial" w:cs="Arial"/>
        </w:rPr>
        <w:t xml:space="preserve">to </w:t>
      </w:r>
      <w:r w:rsidRPr="0025348D">
        <w:rPr>
          <w:rFonts w:ascii="Arial" w:hAnsi="Arial" w:cs="Arial"/>
        </w:rPr>
        <w:t xml:space="preserve">search for a maximum of two distinct alignments per read </w:t>
      </w:r>
      <w:r w:rsidRPr="0025348D">
        <w:rPr>
          <w:rFonts w:ascii="Courier" w:hAnsi="Courier" w:cs="Arial"/>
        </w:rPr>
        <w:t>(-k 2</w:t>
      </w:r>
      <w:r w:rsidRPr="0025348D">
        <w:rPr>
          <w:rFonts w:ascii="Arial" w:hAnsi="Arial" w:cs="Arial"/>
        </w:rPr>
        <w:t xml:space="preserve"> option), which reduces alignment time and multiple mapping</w:t>
      </w:r>
      <w:r>
        <w:rPr>
          <w:rFonts w:ascii="Arial" w:hAnsi="Arial" w:cs="Arial"/>
        </w:rPr>
        <w:t>. The pipeline only retains sequencing reads that align (</w:t>
      </w:r>
      <w:r w:rsidRPr="0025348D">
        <w:rPr>
          <w:rFonts w:ascii="Courier" w:hAnsi="Courier" w:cs="Arial"/>
        </w:rPr>
        <w:t>--no-</w:t>
      </w:r>
      <w:proofErr w:type="spellStart"/>
      <w:r w:rsidRPr="0025348D">
        <w:rPr>
          <w:rFonts w:ascii="Courier" w:hAnsi="Courier" w:cs="Arial"/>
        </w:rPr>
        <w:t>unal</w:t>
      </w:r>
      <w:proofErr w:type="spellEnd"/>
      <w:r>
        <w:rPr>
          <w:rFonts w:ascii="Arial" w:hAnsi="Arial" w:cs="Arial"/>
        </w:rPr>
        <w:t xml:space="preserve"> option) in the SAM (Sequence Alignment/Map </w:t>
      </w:r>
      <w:r>
        <w:rPr>
          <w:rFonts w:ascii="Arial" w:hAnsi="Arial" w:cs="Arial"/>
        </w:rPr>
        <w:lastRenderedPageBreak/>
        <w:t>Format) output to help reduce file size</w:t>
      </w:r>
      <w:r w:rsidRPr="0025348D">
        <w:rPr>
          <w:rFonts w:ascii="Arial" w:hAnsi="Arial" w:cs="Arial"/>
        </w:rPr>
        <w:t xml:space="preserve">. </w:t>
      </w:r>
      <w:proofErr w:type="spellStart"/>
      <w:r>
        <w:rPr>
          <w:rFonts w:ascii="Arial" w:hAnsi="Arial" w:cs="Arial"/>
        </w:rPr>
        <w:t>MutantHuntWGS</w:t>
      </w:r>
      <w:proofErr w:type="spellEnd"/>
      <w:r>
        <w:rPr>
          <w:rFonts w:ascii="Arial" w:hAnsi="Arial" w:cs="Arial"/>
        </w:rPr>
        <w:t xml:space="preserve"> uses </w:t>
      </w:r>
      <w:proofErr w:type="spellStart"/>
      <w:r w:rsidRPr="0025348D">
        <w:rPr>
          <w:rFonts w:ascii="Arial" w:hAnsi="Arial" w:cs="Arial"/>
        </w:rPr>
        <w:t>SAMtools</w:t>
      </w:r>
      <w:proofErr w:type="spellEnd"/>
      <w:r w:rsidRPr="00EE717E">
        <w:rPr>
          <w:rFonts w:ascii="Arial" w:hAnsi="Arial" w:cs="Arial"/>
        </w:rPr>
        <w:t xml:space="preserve"> </w:t>
      </w:r>
      <w:r>
        <w:rPr>
          <w:rFonts w:ascii="Arial" w:hAnsi="Arial" w:cs="Arial"/>
        </w:rPr>
        <w:t>version 1.3.1 to</w:t>
      </w:r>
      <w:r w:rsidRPr="0025348D">
        <w:rPr>
          <w:rFonts w:ascii="Arial" w:hAnsi="Arial" w:cs="Arial"/>
        </w:rPr>
        <w:t xml:space="preserve"> convert the </w:t>
      </w:r>
      <w:r>
        <w:rPr>
          <w:rFonts w:ascii="Arial" w:hAnsi="Arial" w:cs="Arial"/>
        </w:rPr>
        <w:t xml:space="preserve">aligned-read </w:t>
      </w:r>
      <w:r w:rsidRPr="0025348D">
        <w:rPr>
          <w:rFonts w:ascii="Arial" w:hAnsi="Arial" w:cs="Arial"/>
        </w:rPr>
        <w:t>output</w:t>
      </w:r>
      <w:r>
        <w:rPr>
          <w:rFonts w:ascii="Arial" w:hAnsi="Arial" w:cs="Arial"/>
        </w:rPr>
        <w:t xml:space="preserve"> from Bowtie2 (SAM format) </w:t>
      </w:r>
      <w:r w:rsidRPr="0025348D">
        <w:rPr>
          <w:rFonts w:ascii="Arial" w:hAnsi="Arial" w:cs="Arial"/>
        </w:rPr>
        <w:t>into the BAM (Binary Alignment/Map) format</w:t>
      </w:r>
      <w:r>
        <w:rPr>
          <w:rFonts w:ascii="Arial" w:hAnsi="Arial" w:cs="Arial"/>
        </w:rPr>
        <w:t xml:space="preserve"> (view -</w:t>
      </w:r>
      <w:proofErr w:type="spellStart"/>
      <w:r>
        <w:rPr>
          <w:rFonts w:ascii="Arial" w:hAnsi="Arial" w:cs="Arial"/>
        </w:rPr>
        <w:t>bS</w:t>
      </w:r>
      <w:proofErr w:type="spellEnd"/>
      <w:r>
        <w:rPr>
          <w:rFonts w:ascii="Arial" w:hAnsi="Arial" w:cs="Arial"/>
        </w:rPr>
        <w:t xml:space="preserve"> options)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sidRPr="0025348D">
        <w:rPr>
          <w:rFonts w:ascii="Arial" w:hAnsi="Arial" w:cs="Arial"/>
        </w:rPr>
        <w:t xml:space="preserve">. </w:t>
      </w:r>
      <w:proofErr w:type="spellStart"/>
      <w:r w:rsidRPr="0025348D">
        <w:rPr>
          <w:rFonts w:ascii="Arial" w:hAnsi="Arial" w:cs="Arial"/>
        </w:rPr>
        <w:t>SAMtools</w:t>
      </w:r>
      <w:proofErr w:type="spellEnd"/>
      <w:r w:rsidRPr="0025348D">
        <w:rPr>
          <w:rFonts w:ascii="Arial" w:hAnsi="Arial" w:cs="Arial"/>
        </w:rPr>
        <w:t xml:space="preserve"> then sorts </w:t>
      </w:r>
      <w:r>
        <w:rPr>
          <w:rFonts w:ascii="Arial" w:hAnsi="Arial" w:cs="Arial"/>
        </w:rPr>
        <w:t>(</w:t>
      </w:r>
      <w:r w:rsidRPr="0025348D">
        <w:rPr>
          <w:rFonts w:ascii="Courier" w:hAnsi="Courier" w:cs="Arial"/>
        </w:rPr>
        <w:t>sort</w:t>
      </w:r>
      <w:r>
        <w:rPr>
          <w:rFonts w:ascii="Arial" w:hAnsi="Arial" w:cs="Arial"/>
        </w:rPr>
        <w:t xml:space="preserve"> option) </w:t>
      </w:r>
      <w:r w:rsidRPr="0025348D">
        <w:rPr>
          <w:rFonts w:ascii="Arial" w:hAnsi="Arial" w:cs="Arial"/>
        </w:rPr>
        <w:t xml:space="preserve">and indexes </w:t>
      </w:r>
      <w:r>
        <w:rPr>
          <w:rFonts w:ascii="Arial" w:hAnsi="Arial" w:cs="Arial"/>
        </w:rPr>
        <w:t>(</w:t>
      </w:r>
      <w:r w:rsidRPr="0025348D">
        <w:rPr>
          <w:rFonts w:ascii="Courier" w:hAnsi="Courier" w:cs="Arial"/>
        </w:rPr>
        <w:t>index</w:t>
      </w:r>
      <w:r>
        <w:rPr>
          <w:rFonts w:ascii="Arial" w:hAnsi="Arial" w:cs="Arial"/>
        </w:rPr>
        <w:t xml:space="preserve"> option) </w:t>
      </w:r>
      <w:r w:rsidRPr="0025348D">
        <w:rPr>
          <w:rFonts w:ascii="Arial" w:hAnsi="Arial" w:cs="Arial"/>
        </w:rPr>
        <w:t xml:space="preserve">the BAM file to prepare the data for variant calling. </w:t>
      </w:r>
      <w:r>
        <w:rPr>
          <w:rFonts w:ascii="Arial" w:hAnsi="Arial" w:cs="Arial"/>
        </w:rPr>
        <w:t>Users can view the</w:t>
      </w:r>
      <w:r w:rsidRPr="0025348D">
        <w:rPr>
          <w:rFonts w:ascii="Arial" w:hAnsi="Arial" w:cs="Arial"/>
        </w:rPr>
        <w:t xml:space="preserve"> </w:t>
      </w:r>
      <w:r>
        <w:rPr>
          <w:rFonts w:ascii="Arial" w:hAnsi="Arial" w:cs="Arial"/>
        </w:rPr>
        <w:t>sorted and indexed BAM</w:t>
      </w:r>
      <w:r w:rsidRPr="0025348D">
        <w:rPr>
          <w:rFonts w:ascii="Arial" w:hAnsi="Arial" w:cs="Arial"/>
        </w:rPr>
        <w:t xml:space="preserve"> files in a genome browser </w:t>
      </w:r>
      <w:r>
        <w:rPr>
          <w:rFonts w:ascii="Arial" w:hAnsi="Arial" w:cs="Arial"/>
        </w:rPr>
        <w:t>such as</w:t>
      </w:r>
      <w:r w:rsidRPr="0025348D">
        <w:rPr>
          <w:rFonts w:ascii="Arial" w:hAnsi="Arial" w:cs="Arial"/>
        </w:rPr>
        <w:t xml:space="preserve"> IGV (Integrative Genome Viewer) </w:t>
      </w:r>
      <w:r>
        <w:rPr>
          <w:rFonts w:ascii="Arial" w:hAnsi="Arial" w:cs="Arial"/>
        </w:rPr>
        <w:t xml:space="preserve">to examine the aligned reads </w:t>
      </w:r>
      <w:r w:rsidRPr="007E3C57">
        <w:rPr>
          <w:rFonts w:ascii="Arial" w:hAnsi="Arial" w:cs="Arial"/>
          <w:color w:val="000000"/>
        </w:rPr>
        <w:fldChar w:fldCharType="begin" w:fldLock="1"/>
      </w:r>
      <w:r>
        <w:rPr>
          <w:rFonts w:ascii="Arial" w:hAnsi="Arial" w:cs="Arial"/>
          <w:color w:val="000000"/>
        </w:rPr>
        <w:instrText>ADDIN CSL_CITATION {"citationItems":[{"id":"ITEM-1","itemData":{"DOI":"10.1093/bib/bbs017","ISBN":"1477-4054 (Electronic)\\r1467-5463 (Linking)","ISSN":"1467-5463","PMID":"22517427","abstract":"Data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license.","author":[{"dropping-particle":"","family":"Thorvaldsdottir","given":"H.","non-dropping-particle":"","parse-names":false,"suffix":""},{"dropping-particle":"","family":"Robinson","given":"James T.","non-dropping-particle":"","parse-names":false,"suffix":""},{"dropping-particle":"","family":"Mesirov","given":"Jill P.","non-dropping-particle":"","parse-names":false,"suffix":""}],"container-title":"Briefings in Bioinformatics","id":"ITEM-1","issue":"2","issued":{"date-parts":[["2013","3","1"]]},"page":"178-192","title":"Integrative Genomics Viewer (IGV): high-performance genomics data visualization and exploration","type":"article-journal","volume":"14"},"uris":["http://www.mendeley.com/documents/?uuid=2b91be83-5dda-49fc-b622-45e99be04964"]}],"mendeley":{"formattedCitation":"(Thorvaldsdottir &lt;i&gt;et al.&lt;/i&gt; 2013)","plainTextFormattedCitation":"(Thorvaldsdottir et al. 2013)","previouslyFormattedCitation":"(Thorvaldsdottir &lt;i&gt;et al.&lt;/i&gt; 2013)"},"properties":{"noteIndex":0},"schema":"https://github.com/citation-style-language/schema/raw/master/csl-citation.json"}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(Thorvaldsdottir </w:t>
      </w:r>
      <w:r w:rsidRPr="007E3C57">
        <w:rPr>
          <w:rFonts w:ascii="Arial" w:hAnsi="Arial" w:cs="Arial"/>
          <w:i/>
          <w:noProof/>
          <w:color w:val="000000"/>
        </w:rPr>
        <w:t>et al.</w:t>
      </w:r>
      <w:r w:rsidRPr="007E3C57">
        <w:rPr>
          <w:rFonts w:ascii="Arial" w:hAnsi="Arial" w:cs="Arial"/>
          <w:noProof/>
          <w:color w:val="000000"/>
        </w:rPr>
        <w:t xml:space="preserve"> 2013)</w:t>
      </w:r>
      <w:r w:rsidRPr="007E3C57">
        <w:rPr>
          <w:rFonts w:ascii="Arial" w:hAnsi="Arial" w:cs="Arial"/>
          <w:color w:val="000000"/>
        </w:rPr>
        <w:fldChar w:fldCharType="end"/>
      </w:r>
      <w:r w:rsidRPr="0025348D">
        <w:rPr>
          <w:rFonts w:ascii="Arial" w:hAnsi="Arial" w:cs="Arial"/>
        </w:rPr>
        <w:t>.</w:t>
      </w:r>
    </w:p>
    <w:p w14:paraId="5AFD73FE" w14:textId="77777777" w:rsidR="00817ABD" w:rsidRPr="0025348D" w:rsidRDefault="00817ABD" w:rsidP="00817ABD">
      <w:pPr>
        <w:spacing w:line="480" w:lineRule="auto"/>
        <w:rPr>
          <w:rFonts w:ascii="Arial" w:hAnsi="Arial" w:cs="Arial"/>
        </w:rPr>
      </w:pPr>
    </w:p>
    <w:p w14:paraId="4857AFD7" w14:textId="77777777" w:rsidR="00817ABD" w:rsidRPr="0025348D" w:rsidRDefault="00817ABD" w:rsidP="00817ABD">
      <w:pPr>
        <w:spacing w:line="480" w:lineRule="auto"/>
        <w:ind w:firstLine="0"/>
        <w:rPr>
          <w:rFonts w:ascii="Arial" w:hAnsi="Arial" w:cs="Arial"/>
          <w:b/>
          <w:bCs/>
          <w:i/>
          <w:iCs/>
        </w:rPr>
      </w:pPr>
      <w:r w:rsidRPr="0025348D">
        <w:rPr>
          <w:rFonts w:ascii="Arial" w:hAnsi="Arial" w:cs="Arial"/>
          <w:b/>
          <w:bCs/>
          <w:i/>
          <w:iCs/>
        </w:rPr>
        <w:t>Variant Calling</w:t>
      </w:r>
    </w:p>
    <w:p w14:paraId="67019967" w14:textId="77777777" w:rsidR="00817ABD" w:rsidRDefault="00817ABD" w:rsidP="00817ABD">
      <w:pPr>
        <w:spacing w:line="480" w:lineRule="auto"/>
        <w:ind w:firstLine="720"/>
        <w:rPr>
          <w:rFonts w:ascii="Arial" w:hAnsi="Arial" w:cs="Arial"/>
        </w:rPr>
      </w:pPr>
      <w:r w:rsidRPr="0025348D">
        <w:rPr>
          <w:rFonts w:ascii="Arial" w:hAnsi="Arial" w:cs="Arial"/>
        </w:rPr>
        <w:t xml:space="preserve">Based on the aligned reads, </w:t>
      </w:r>
      <w:proofErr w:type="spellStart"/>
      <w:r w:rsidRPr="0025348D">
        <w:rPr>
          <w:rFonts w:ascii="Arial" w:hAnsi="Arial" w:cs="Arial"/>
        </w:rPr>
        <w:t>SAMtools</w:t>
      </w:r>
      <w:proofErr w:type="spellEnd"/>
      <w:r w:rsidRPr="0025348D">
        <w:rPr>
          <w:rFonts w:ascii="Arial" w:hAnsi="Arial" w:cs="Arial"/>
        </w:rPr>
        <w:t xml:space="preserve"> outputs genotype likelihoods as BCF (Binary Call Format) files</w:t>
      </w:r>
      <w:r>
        <w:rPr>
          <w:rFonts w:ascii="Arial" w:hAnsi="Arial" w:cs="Arial"/>
        </w:rPr>
        <w:t xml:space="preserve"> (</w:t>
      </w:r>
      <w:proofErr w:type="spellStart"/>
      <w:r w:rsidRPr="0025348D">
        <w:rPr>
          <w:rFonts w:ascii="Courier" w:hAnsi="Courier" w:cs="Arial"/>
        </w:rPr>
        <w:t>mpileup</w:t>
      </w:r>
      <w:proofErr w:type="spellEnd"/>
      <w:r w:rsidRPr="0025348D">
        <w:rPr>
          <w:rFonts w:ascii="Courier" w:hAnsi="Courier" w:cs="Arial"/>
        </w:rPr>
        <w:t xml:space="preserve"> -g -f</w:t>
      </w:r>
      <w:r>
        <w:rPr>
          <w:rFonts w:ascii="Arial" w:hAnsi="Arial" w:cs="Arial"/>
        </w:rPr>
        <w:t xml:space="preserve"> options)</w:t>
      </w:r>
      <w:r w:rsidRPr="00C4690D">
        <w:rPr>
          <w:rFonts w:ascii="Arial" w:hAnsi="Arial" w:cs="Arial"/>
        </w:rPr>
        <w:t xml:space="preserve"> </w:t>
      </w:r>
      <w:r>
        <w:rPr>
          <w:rFonts w:ascii="Arial" w:hAnsi="Arial" w:cs="Arial"/>
        </w:rPr>
        <w:t xml:space="preserve">using the BAM file as input </w:t>
      </w:r>
      <w:r w:rsidRPr="007E3C57">
        <w:rPr>
          <w:rFonts w:ascii="Arial" w:hAnsi="Arial" w:cs="Arial"/>
          <w:color w:val="000000"/>
        </w:rPr>
        <w:fldChar w:fldCharType="begin" w:fldLock="1"/>
      </w:r>
      <w:r>
        <w:rPr>
          <w:rFonts w:ascii="Arial" w:hAnsi="Arial" w:cs="Arial"/>
          <w:color w:val="000000"/>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sidRPr="007E3C57">
        <w:rPr>
          <w:rFonts w:ascii="Arial" w:hAnsi="Arial" w:cs="Arial"/>
          <w:color w:val="000000"/>
        </w:rPr>
        <w:fldChar w:fldCharType="separate"/>
      </w:r>
      <w:r w:rsidRPr="00A16D14">
        <w:rPr>
          <w:rFonts w:ascii="Arial" w:hAnsi="Arial" w:cs="Arial"/>
          <w:noProof/>
          <w:color w:val="000000"/>
        </w:rPr>
        <w:t xml:space="preserve">(Li </w:t>
      </w:r>
      <w:r w:rsidRPr="00A16D14">
        <w:rPr>
          <w:rFonts w:ascii="Arial" w:hAnsi="Arial" w:cs="Arial"/>
          <w:i/>
          <w:noProof/>
          <w:color w:val="000000"/>
        </w:rPr>
        <w:t>et al.</w:t>
      </w:r>
      <w:r w:rsidRPr="00A16D14">
        <w:rPr>
          <w:rFonts w:ascii="Arial" w:hAnsi="Arial" w:cs="Arial"/>
          <w:noProof/>
          <w:color w:val="000000"/>
        </w:rPr>
        <w:t xml:space="preserve"> 2009)</w:t>
      </w:r>
      <w:r w:rsidRPr="007E3C57">
        <w:rPr>
          <w:rFonts w:ascii="Arial" w:hAnsi="Arial" w:cs="Arial"/>
          <w:color w:val="000000"/>
        </w:rPr>
        <w:fldChar w:fldCharType="end"/>
      </w:r>
      <w:r w:rsidRPr="0025348D">
        <w:rPr>
          <w:rFonts w:ascii="Arial" w:hAnsi="Arial" w:cs="Arial"/>
        </w:rPr>
        <w:t xml:space="preserve">. </w:t>
      </w:r>
      <w:proofErr w:type="spellStart"/>
      <w:r w:rsidRPr="00C876E9">
        <w:rPr>
          <w:rFonts w:ascii="Arial" w:hAnsi="Arial" w:cs="Arial"/>
        </w:rPr>
        <w:t>BCFtools</w:t>
      </w:r>
      <w:proofErr w:type="spellEnd"/>
      <w:r w:rsidRPr="00EE717E">
        <w:rPr>
          <w:rFonts w:ascii="Arial" w:hAnsi="Arial" w:cs="Arial"/>
        </w:rPr>
        <w:t xml:space="preserve"> </w:t>
      </w:r>
      <w:r>
        <w:rPr>
          <w:rFonts w:ascii="Arial" w:hAnsi="Arial" w:cs="Arial"/>
        </w:rPr>
        <w:t xml:space="preserve">version 1.3.1 </w:t>
      </w:r>
      <w:r w:rsidRPr="0025348D">
        <w:rPr>
          <w:rFonts w:ascii="Arial" w:hAnsi="Arial" w:cs="Arial"/>
        </w:rPr>
        <w:t>then uses the genotype likelihoods recorded in the BCF file to call single nucleotide polymorphisms (SNPs)</w:t>
      </w:r>
      <w:r>
        <w:rPr>
          <w:rFonts w:ascii="Arial" w:hAnsi="Arial" w:cs="Arial"/>
        </w:rPr>
        <w:t>,</w:t>
      </w:r>
      <w:r w:rsidRPr="0025348D">
        <w:rPr>
          <w:rFonts w:ascii="Arial" w:hAnsi="Arial" w:cs="Arial"/>
        </w:rPr>
        <w:t xml:space="preserve"> </w:t>
      </w:r>
      <w:r>
        <w:rPr>
          <w:rFonts w:ascii="Arial" w:hAnsi="Arial" w:cs="Arial"/>
        </w:rPr>
        <w:t>as well as</w:t>
      </w:r>
      <w:r w:rsidRPr="0025348D">
        <w:rPr>
          <w:rFonts w:ascii="Arial" w:hAnsi="Arial" w:cs="Arial"/>
        </w:rPr>
        <w:t xml:space="preserve"> insertions and deletions (INDELs)</w:t>
      </w:r>
      <w:r>
        <w:rPr>
          <w:rFonts w:ascii="Arial" w:hAnsi="Arial" w:cs="Arial"/>
        </w:rPr>
        <w:t xml:space="preserve"> (</w:t>
      </w:r>
      <w:r w:rsidRPr="0025348D">
        <w:rPr>
          <w:rFonts w:ascii="Courier" w:hAnsi="Courier" w:cs="Arial"/>
        </w:rPr>
        <w:t xml:space="preserve">-c -v --samples-file –ploidy-file </w:t>
      </w:r>
      <w:r>
        <w:rPr>
          <w:rFonts w:ascii="Arial" w:hAnsi="Arial" w:cs="Arial"/>
        </w:rPr>
        <w:t xml:space="preserve">options) </w:t>
      </w:r>
      <w:r>
        <w:rPr>
          <w:rFonts w:ascii="Arial" w:hAnsi="Arial" w:cs="Arial"/>
        </w:rPr>
        <w:fldChar w:fldCharType="begin" w:fldLock="1"/>
      </w:r>
      <w:r>
        <w:rPr>
          <w:rFonts w:ascii="Arial" w:hAnsi="Arial" w:cs="Arial"/>
        </w:rPr>
        <w:instrText>ADDIN CSL_CITATION {"citationItems":[{"id":"ITEM-1","itemData":{"DOI":"10.1093/bioinformatics/btr509","ISSN":"13674803","abstract":"Motivation: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reserved.","author":[{"dropping-particle":"","family":"Li","given":"Heng","non-dropping-particle":"","parse-names":false,"suffix":""}],"container-title":"Bioinformatics","id":"ITEM-1","issue":"21","issued":{"date-parts":[["2011"]]},"page":"2987-2993","title":"A statistical framework for SNP calling, mutation discovery, association mapping and population genetical parameter estimation from sequencing data","type":"article-journal","volume":"27"},"uris":["http://www.mendeley.com/documents/?uuid=18cf94c5-340a-4497-a93f-5cb50745e8d6"]}],"mendeley":{"formattedCitation":"(Li 2011)","plainTextFormattedCitation":"(Li 2011)","previouslyFormattedCitation":"(Li 2011)"},"properties":{"noteIndex":0},"schema":"https://github.com/citation-style-language/schema/raw/master/csl-citation.json"}</w:instrText>
      </w:r>
      <w:r>
        <w:rPr>
          <w:rFonts w:ascii="Arial" w:hAnsi="Arial" w:cs="Arial"/>
        </w:rPr>
        <w:fldChar w:fldCharType="separate"/>
      </w:r>
      <w:r w:rsidRPr="007E3C57">
        <w:rPr>
          <w:rFonts w:ascii="Arial" w:hAnsi="Arial" w:cs="Arial"/>
          <w:noProof/>
        </w:rPr>
        <w:t>(Li 2011)</w:t>
      </w:r>
      <w:r>
        <w:rPr>
          <w:rFonts w:ascii="Arial" w:hAnsi="Arial" w:cs="Arial"/>
        </w:rPr>
        <w:fldChar w:fldCharType="end"/>
      </w:r>
      <w:r w:rsidRPr="0025348D">
        <w:rPr>
          <w:rFonts w:ascii="Arial" w:hAnsi="Arial" w:cs="Arial"/>
        </w:rPr>
        <w:t xml:space="preserve">. This variant information is </w:t>
      </w:r>
      <w:r>
        <w:rPr>
          <w:rFonts w:ascii="Arial" w:hAnsi="Arial" w:cs="Arial"/>
        </w:rPr>
        <w:t xml:space="preserve">saved in </w:t>
      </w:r>
      <w:r w:rsidRPr="0025348D">
        <w:rPr>
          <w:rFonts w:ascii="Arial" w:hAnsi="Arial" w:cs="Arial"/>
        </w:rPr>
        <w:t>the Variant Call Format (VCF), the format used by the 1000 Genomes Project</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9E751C">
        <w:rPr>
          <w:rFonts w:ascii="Arial" w:hAnsi="Arial" w:cs="Arial"/>
          <w:noProof/>
        </w:rPr>
        <w:t xml:space="preserve">(Danecek </w:t>
      </w:r>
      <w:r w:rsidRPr="009E751C">
        <w:rPr>
          <w:rFonts w:ascii="Arial" w:hAnsi="Arial" w:cs="Arial"/>
          <w:i/>
          <w:noProof/>
        </w:rPr>
        <w:t>et al.</w:t>
      </w:r>
      <w:r w:rsidRPr="009E751C">
        <w:rPr>
          <w:rFonts w:ascii="Arial" w:hAnsi="Arial" w:cs="Arial"/>
          <w:noProof/>
        </w:rPr>
        <w:t xml:space="preserve"> 2011)</w:t>
      </w:r>
      <w:r>
        <w:rPr>
          <w:rFonts w:ascii="Arial" w:hAnsi="Arial" w:cs="Arial"/>
        </w:rPr>
        <w:fldChar w:fldCharType="end"/>
      </w:r>
      <w:r w:rsidRPr="0025348D">
        <w:rPr>
          <w:rFonts w:ascii="Arial" w:hAnsi="Arial" w:cs="Arial"/>
        </w:rPr>
        <w:t xml:space="preserve">. </w:t>
      </w:r>
      <w:r w:rsidRPr="00C876E9">
        <w:rPr>
          <w:rFonts w:ascii="Arial" w:hAnsi="Arial" w:cs="Arial"/>
        </w:rPr>
        <w:t>IGV can a</w:t>
      </w:r>
      <w:r>
        <w:rPr>
          <w:rFonts w:ascii="Arial" w:hAnsi="Arial" w:cs="Arial"/>
        </w:rPr>
        <w:t>gain be used to</w:t>
      </w:r>
      <w:r w:rsidRPr="00C876E9">
        <w:rPr>
          <w:rFonts w:ascii="Arial" w:hAnsi="Arial" w:cs="Arial"/>
        </w:rPr>
        <w:t xml:space="preserve"> view </w:t>
      </w:r>
      <w:r>
        <w:rPr>
          <w:rFonts w:ascii="Arial" w:hAnsi="Arial" w:cs="Arial"/>
        </w:rPr>
        <w:t xml:space="preserve">the </w:t>
      </w:r>
      <w:r w:rsidRPr="00C876E9">
        <w:rPr>
          <w:rFonts w:ascii="Arial" w:hAnsi="Arial" w:cs="Arial"/>
        </w:rPr>
        <w:t>VCF files</w:t>
      </w:r>
      <w:r>
        <w:rPr>
          <w:rFonts w:ascii="Arial" w:hAnsi="Arial" w:cs="Arial"/>
        </w:rPr>
        <w:t xml:space="preserve"> that are output from </w:t>
      </w:r>
      <w:proofErr w:type="spellStart"/>
      <w:r>
        <w:rPr>
          <w:rFonts w:ascii="Arial" w:hAnsi="Arial" w:cs="Arial"/>
        </w:rPr>
        <w:t>MutantHuntWGS</w:t>
      </w:r>
      <w:proofErr w:type="spellEnd"/>
      <w:r>
        <w:rPr>
          <w:rFonts w:ascii="Arial" w:hAnsi="Arial" w:cs="Arial"/>
        </w:rPr>
        <w:t xml:space="preserve"> </w:t>
      </w:r>
      <w:r w:rsidRPr="007E3C57">
        <w:rPr>
          <w:rFonts w:ascii="Arial" w:hAnsi="Arial" w:cs="Arial"/>
          <w:color w:val="000000"/>
        </w:rPr>
        <w:fldChar w:fldCharType="begin" w:fldLock="1"/>
      </w:r>
      <w:r>
        <w:rPr>
          <w:rFonts w:ascii="Arial" w:hAnsi="Arial" w:cs="Arial"/>
          <w:color w:val="000000"/>
        </w:rPr>
        <w:instrText>ADDIN CSL_CITATION {"citationItems":[{"id":"ITEM-1","itemData":{"DOI":"10.1093/bib/bbs017","ISBN":"1477-4054 (Electronic)\\r1467-5463 (Linking)","ISSN":"1467-5463","PMID":"22517427","abstract":"Data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license.","author":[{"dropping-particle":"","family":"Thorvaldsdottir","given":"H.","non-dropping-particle":"","parse-names":false,"suffix":""},{"dropping-particle":"","family":"Robinson","given":"James T.","non-dropping-particle":"","parse-names":false,"suffix":""},{"dropping-particle":"","family":"Mesirov","given":"Jill P.","non-dropping-particle":"","parse-names":false,"suffix":""}],"container-title":"Briefings in Bioinformatics","id":"ITEM-1","issue":"2","issued":{"date-parts":[["2013","3","1"]]},"page":"178-192","title":"Integrative Genomics Viewer (IGV): high-performance genomics data visualization and exploration","type":"article-journal","volume":"14"},"uris":["http://www.mendeley.com/documents/?uuid=2b91be83-5dda-49fc-b622-45e99be04964"]}],"mendeley":{"formattedCitation":"(Thorvaldsdottir &lt;i&gt;et al.&lt;/i&gt; 2013)","plainTextFormattedCitation":"(Thorvaldsdottir et al. 2013)","previouslyFormattedCitation":"(Thorvaldsdottir &lt;i&gt;et al.&lt;/i&gt; 2013)"},"properties":{"noteIndex":0},"schema":"https://github.com/citation-style-language/schema/raw/master/csl-citation.json"}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(Thorvaldsdottir </w:t>
      </w:r>
      <w:r w:rsidRPr="007E3C57">
        <w:rPr>
          <w:rFonts w:ascii="Arial" w:hAnsi="Arial" w:cs="Arial"/>
          <w:i/>
          <w:noProof/>
          <w:color w:val="000000"/>
        </w:rPr>
        <w:t>et al.</w:t>
      </w:r>
      <w:r w:rsidRPr="007E3C57">
        <w:rPr>
          <w:rFonts w:ascii="Arial" w:hAnsi="Arial" w:cs="Arial"/>
          <w:noProof/>
          <w:color w:val="000000"/>
        </w:rPr>
        <w:t xml:space="preserve"> 2013)</w:t>
      </w:r>
      <w:r w:rsidRPr="007E3C57">
        <w:rPr>
          <w:rFonts w:ascii="Arial" w:hAnsi="Arial" w:cs="Arial"/>
          <w:color w:val="000000"/>
        </w:rPr>
        <w:fldChar w:fldCharType="end"/>
      </w:r>
      <w:r w:rsidRPr="00C876E9">
        <w:rPr>
          <w:rFonts w:ascii="Arial" w:hAnsi="Arial" w:cs="Arial"/>
        </w:rPr>
        <w:t>.</w:t>
      </w:r>
      <w:r>
        <w:rPr>
          <w:rFonts w:ascii="Arial" w:hAnsi="Arial" w:cs="Arial"/>
        </w:rPr>
        <w:t xml:space="preserve"> At the variant calling step, </w:t>
      </w:r>
      <w:proofErr w:type="spellStart"/>
      <w:r>
        <w:rPr>
          <w:rFonts w:ascii="Arial" w:hAnsi="Arial" w:cs="Arial"/>
        </w:rPr>
        <w:t>BCFtools</w:t>
      </w:r>
      <w:proofErr w:type="spellEnd"/>
      <w:r>
        <w:rPr>
          <w:rFonts w:ascii="Arial" w:hAnsi="Arial" w:cs="Arial"/>
        </w:rPr>
        <w:t xml:space="preserve"> also considers a user-specified input ploidy file to account for genome copy number.</w:t>
      </w:r>
      <w:r w:rsidRPr="00095283">
        <w:rPr>
          <w:rFonts w:ascii="Arial" w:hAnsi="Arial" w:cs="Arial"/>
        </w:rPr>
        <w:t xml:space="preserve"> </w:t>
      </w:r>
    </w:p>
    <w:p w14:paraId="4366FD81" w14:textId="77777777" w:rsidR="00817ABD" w:rsidRPr="0025348D" w:rsidRDefault="00817ABD" w:rsidP="00817ABD">
      <w:pPr>
        <w:spacing w:line="480" w:lineRule="auto"/>
        <w:rPr>
          <w:rFonts w:ascii="Arial" w:hAnsi="Arial" w:cs="Arial"/>
        </w:rPr>
      </w:pPr>
    </w:p>
    <w:p w14:paraId="611805B8" w14:textId="77777777" w:rsidR="00817ABD" w:rsidRPr="0025348D" w:rsidRDefault="00817ABD" w:rsidP="00817ABD">
      <w:pPr>
        <w:spacing w:line="480" w:lineRule="auto"/>
        <w:ind w:firstLine="0"/>
        <w:rPr>
          <w:rFonts w:ascii="Arial" w:hAnsi="Arial" w:cs="Arial"/>
          <w:b/>
          <w:bCs/>
          <w:i/>
          <w:iCs/>
        </w:rPr>
      </w:pPr>
      <w:r w:rsidRPr="0025348D">
        <w:rPr>
          <w:rFonts w:ascii="Arial" w:hAnsi="Arial" w:cs="Arial"/>
          <w:b/>
          <w:bCs/>
          <w:i/>
          <w:iCs/>
        </w:rPr>
        <w:t>Identifying Candidate Variants</w:t>
      </w:r>
    </w:p>
    <w:p w14:paraId="71A04519" w14:textId="77777777" w:rsidR="00817ABD" w:rsidRDefault="00817ABD" w:rsidP="00817ABD">
      <w:pPr>
        <w:spacing w:line="480" w:lineRule="auto"/>
        <w:ind w:firstLine="720"/>
        <w:rPr>
          <w:rFonts w:ascii="Arial" w:hAnsi="Arial" w:cs="Arial"/>
        </w:rPr>
      </w:pPr>
      <w:proofErr w:type="spellStart"/>
      <w:r w:rsidRPr="0025348D">
        <w:rPr>
          <w:rFonts w:ascii="Arial" w:hAnsi="Arial" w:cs="Arial"/>
        </w:rPr>
        <w:t>VCFtools</w:t>
      </w:r>
      <w:proofErr w:type="spellEnd"/>
      <w:r>
        <w:rPr>
          <w:rFonts w:ascii="Arial" w:hAnsi="Arial" w:cs="Arial"/>
        </w:rPr>
        <w:t xml:space="preserve"> version 0.1.14</w:t>
      </w:r>
      <w:r w:rsidRPr="0025348D">
        <w:rPr>
          <w:rFonts w:ascii="Arial" w:hAnsi="Arial" w:cs="Arial"/>
        </w:rPr>
        <w:t xml:space="preserve"> compares VCF files </w:t>
      </w:r>
      <w:r>
        <w:rPr>
          <w:rFonts w:ascii="Arial" w:hAnsi="Arial" w:cs="Arial"/>
        </w:rPr>
        <w:t>(</w:t>
      </w:r>
      <w:r w:rsidRPr="00C876E9">
        <w:rPr>
          <w:rFonts w:ascii="Courier" w:hAnsi="Courier" w:cs="Arial"/>
        </w:rPr>
        <w:t xml:space="preserve">--diff-site </w:t>
      </w:r>
      <w:r>
        <w:rPr>
          <w:rFonts w:ascii="Arial" w:hAnsi="Arial" w:cs="Arial"/>
        </w:rPr>
        <w:t xml:space="preserve">option) </w:t>
      </w:r>
      <w:r w:rsidRPr="0025348D">
        <w:rPr>
          <w:rFonts w:ascii="Arial" w:hAnsi="Arial" w:cs="Arial"/>
        </w:rPr>
        <w:t xml:space="preserve">from the </w:t>
      </w:r>
      <w:r>
        <w:rPr>
          <w:rFonts w:ascii="Arial" w:hAnsi="Arial" w:cs="Arial"/>
        </w:rPr>
        <w:t>control</w:t>
      </w:r>
      <w:r w:rsidRPr="0025348D">
        <w:rPr>
          <w:rFonts w:ascii="Arial" w:hAnsi="Arial" w:cs="Arial"/>
        </w:rPr>
        <w:t xml:space="preserve"> and </w:t>
      </w:r>
      <w:r>
        <w:rPr>
          <w:rFonts w:ascii="Arial" w:hAnsi="Arial" w:cs="Arial"/>
        </w:rPr>
        <w:t>experimental</w:t>
      </w:r>
      <w:r w:rsidRPr="0025348D">
        <w:rPr>
          <w:rFonts w:ascii="Arial" w:hAnsi="Arial" w:cs="Arial"/>
        </w:rPr>
        <w:t xml:space="preserve"> samples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095283">
        <w:rPr>
          <w:rFonts w:ascii="Arial" w:hAnsi="Arial" w:cs="Arial"/>
          <w:noProof/>
        </w:rPr>
        <w:t xml:space="preserve">(Danecek </w:t>
      </w:r>
      <w:r w:rsidRPr="00095283">
        <w:rPr>
          <w:rFonts w:ascii="Arial" w:hAnsi="Arial" w:cs="Arial"/>
          <w:i/>
          <w:noProof/>
        </w:rPr>
        <w:t>et al.</w:t>
      </w:r>
      <w:r w:rsidRPr="00095283">
        <w:rPr>
          <w:rFonts w:ascii="Arial" w:hAnsi="Arial" w:cs="Arial"/>
          <w:noProof/>
        </w:rPr>
        <w:t xml:space="preserve"> 2011)</w:t>
      </w:r>
      <w:r>
        <w:rPr>
          <w:rFonts w:ascii="Arial" w:hAnsi="Arial" w:cs="Arial"/>
        </w:rPr>
        <w:fldChar w:fldCharType="end"/>
      </w:r>
      <w:r>
        <w:rPr>
          <w:rFonts w:ascii="Arial" w:hAnsi="Arial" w:cs="Arial"/>
        </w:rPr>
        <w:t xml:space="preserve">, and retains only non-matching variants. To retain the variants that are found only in the experimental dataset, </w:t>
      </w:r>
      <w:proofErr w:type="spellStart"/>
      <w:r>
        <w:rPr>
          <w:rFonts w:ascii="Arial" w:hAnsi="Arial" w:cs="Arial"/>
        </w:rPr>
        <w:lastRenderedPageBreak/>
        <w:t>MutantHuntWGS</w:t>
      </w:r>
      <w:proofErr w:type="spellEnd"/>
      <w:r>
        <w:rPr>
          <w:rFonts w:ascii="Arial" w:hAnsi="Arial" w:cs="Arial"/>
        </w:rPr>
        <w:t xml:space="preserve"> uses the </w:t>
      </w:r>
      <w:bookmarkStart w:id="0" w:name="_Hlk39702624"/>
      <w:r>
        <w:rPr>
          <w:rFonts w:ascii="Arial" w:hAnsi="Arial" w:cs="Arial"/>
        </w:rPr>
        <w:t xml:space="preserve">Unix </w:t>
      </w:r>
      <w:bookmarkEnd w:id="0"/>
      <w:proofErr w:type="spellStart"/>
      <w:r w:rsidRPr="0025348D">
        <w:rPr>
          <w:rFonts w:ascii="Courier" w:hAnsi="Courier" w:cs="Arial"/>
        </w:rPr>
        <w:t>awk</w:t>
      </w:r>
      <w:proofErr w:type="spellEnd"/>
      <w:r>
        <w:rPr>
          <w:rFonts w:ascii="Arial" w:hAnsi="Arial" w:cs="Arial"/>
        </w:rPr>
        <w:t xml:space="preserve"> command </w:t>
      </w:r>
      <w:r>
        <w:rPr>
          <w:rFonts w:ascii="Arial" w:hAnsi="Arial" w:cs="Arial"/>
        </w:rPr>
        <w:fldChar w:fldCharType="begin" w:fldLock="1"/>
      </w:r>
      <w:r>
        <w:rPr>
          <w:rFonts w:ascii="Arial" w:hAnsi="Arial" w:cs="Arial"/>
        </w:rPr>
        <w:instrText>ADDIN CSL_CITATION {"citationItems":[{"id":"ITEM-1","itemData":{"DOI":"10.1002/spe.4380090403","ISSN":"1097024X","abstract":"This paper describes the design and implementation of awk, a programming language which searches a set of files for patterns, and performs specified actions upon records or fields of records which match the patterns. Awk makes common data selection and transformation operations easy to express; for example,\\n\\documentclass{article}\\pagestyle{empty}\\begin{document} {\\rm length &gt; 72} \\end{document}\\nis a complete awk program that prints all input lines whose length exceeds 72 characters. The program\\n\\documentclass{article}\\pagestyle{empty}\\begin{document} \\left\\{{{\\rm \\$ 1 = log}\\left({{\\rm \\$ 1}} \\right){\\rm; print 1}} \\right} \\end{document}\\nprints each input line with the first field replaced by its logarithm. The program\\n\\documentclass{article}\\pagestyle{empty}\\begin{document} {\\rm $ 1 ! = prev}\\;\\left\\{{{\\rm print; prev = \\$ 1}} \\right} \\end{document}\\nprints all lines in which the first field is different from the first field of the previous line.Patterns may include boolean combinations of regular expressions and of relational operators on strings, numbers, fields, variables, and array elements. Actions may include: the same matching constructions as in patterns; arithmetic and string expressions and assignments; if-else, while, and for statements; formatted output; and multiple output streams.","author":[{"dropping-particle":"V.","family":"Aho","given":"Alfred","non-dropping-particle":"","parse-names":false,"suffix":""},{"dropping-particle":"","family":"Kernighan","given":"Brian W.","non-dropping-particle":"","parse-names":false,"suffix":""},{"dropping-particle":"","family":"Weinberger","given":"Peter J.","non-dropping-particle":"","parse-names":false,"suffix":""}],"container-title":"Software: Practice and Experience","id":"ITEM-1","issue":"4","issued":{"date-parts":[["1979"]]},"page":"267-279","title":"Awk a pattern scanning and processing language","type":"article-journal","volume":"9"},"uris":["http://www.mendeley.com/documents/?uuid=04b20b3f-9c13-4347-b250-7385ef5b28ea"]}],"mendeley":{"formattedCitation":"(Aho &lt;i&gt;et al.&lt;/i&gt; 1979)","plainTextFormattedCitation":"(Aho et al. 1979)","previouslyFormattedCitation":"(Aho &lt;i&gt;et al.&lt;/i&gt; 1979)"},"properties":{"noteIndex":0},"schema":"https://github.com/citation-style-language/schema/raw/master/csl-citation.json"}</w:instrText>
      </w:r>
      <w:r>
        <w:rPr>
          <w:rFonts w:ascii="Arial" w:hAnsi="Arial" w:cs="Arial"/>
        </w:rPr>
        <w:fldChar w:fldCharType="separate"/>
      </w:r>
      <w:r w:rsidRPr="009E751C">
        <w:rPr>
          <w:rFonts w:ascii="Arial" w:hAnsi="Arial" w:cs="Arial"/>
          <w:noProof/>
        </w:rPr>
        <w:t xml:space="preserve">(Aho </w:t>
      </w:r>
      <w:r w:rsidRPr="009E751C">
        <w:rPr>
          <w:rFonts w:ascii="Arial" w:hAnsi="Arial" w:cs="Arial"/>
          <w:i/>
          <w:noProof/>
        </w:rPr>
        <w:t>et al.</w:t>
      </w:r>
      <w:r w:rsidRPr="009E751C">
        <w:rPr>
          <w:rFonts w:ascii="Arial" w:hAnsi="Arial" w:cs="Arial"/>
          <w:noProof/>
        </w:rPr>
        <w:t xml:space="preserve"> 1979)</w:t>
      </w:r>
      <w:r>
        <w:rPr>
          <w:rFonts w:ascii="Arial" w:hAnsi="Arial" w:cs="Arial"/>
        </w:rPr>
        <w:fldChar w:fldCharType="end"/>
      </w:r>
      <w:r>
        <w:rPr>
          <w:rFonts w:ascii="Arial" w:hAnsi="Arial" w:cs="Arial"/>
        </w:rPr>
        <w:t xml:space="preserve"> to remove variants from the </w:t>
      </w:r>
      <w:proofErr w:type="spellStart"/>
      <w:r>
        <w:rPr>
          <w:rFonts w:ascii="Arial" w:hAnsi="Arial" w:cs="Arial"/>
        </w:rPr>
        <w:t>VCFtools</w:t>
      </w:r>
      <w:proofErr w:type="spellEnd"/>
      <w:r>
        <w:rPr>
          <w:rFonts w:ascii="Arial" w:hAnsi="Arial" w:cs="Arial"/>
        </w:rPr>
        <w:t xml:space="preserve"> output that have </w:t>
      </w:r>
      <w:r w:rsidRPr="00C876E9">
        <w:rPr>
          <w:rFonts w:ascii="Arial" w:hAnsi="Arial" w:cs="Arial"/>
        </w:rPr>
        <w:t xml:space="preserve">VCF scores lower than a user-defined </w:t>
      </w:r>
      <w:r>
        <w:rPr>
          <w:rFonts w:ascii="Arial" w:hAnsi="Arial" w:cs="Arial"/>
        </w:rPr>
        <w:t>variant-quality-score</w:t>
      </w:r>
      <w:r w:rsidRPr="00C876E9">
        <w:rPr>
          <w:rFonts w:ascii="Arial" w:hAnsi="Arial" w:cs="Arial"/>
        </w:rPr>
        <w:t xml:space="preserve"> cutoff</w:t>
      </w:r>
      <w:r>
        <w:rPr>
          <w:rFonts w:ascii="Arial" w:hAnsi="Arial" w:cs="Arial"/>
        </w:rPr>
        <w:t xml:space="preserve">. For each experimental dataset, it then uses the Unix </w:t>
      </w:r>
      <w:r w:rsidRPr="0025348D">
        <w:rPr>
          <w:rFonts w:ascii="Courier" w:hAnsi="Courier" w:cs="Arial"/>
        </w:rPr>
        <w:t>grep</w:t>
      </w:r>
      <w:r>
        <w:rPr>
          <w:rFonts w:ascii="Arial" w:hAnsi="Arial" w:cs="Arial"/>
        </w:rPr>
        <w:t xml:space="preserve">, </w:t>
      </w:r>
      <w:r w:rsidRPr="0025348D">
        <w:rPr>
          <w:rFonts w:ascii="Courier" w:hAnsi="Courier" w:cs="Arial"/>
        </w:rPr>
        <w:t>head</w:t>
      </w:r>
      <w:r>
        <w:rPr>
          <w:rFonts w:ascii="Arial" w:hAnsi="Arial" w:cs="Arial"/>
        </w:rPr>
        <w:t xml:space="preserve">, and </w:t>
      </w:r>
      <w:r w:rsidRPr="0025348D">
        <w:rPr>
          <w:rFonts w:ascii="Courier" w:hAnsi="Courier" w:cs="Arial"/>
        </w:rPr>
        <w:t xml:space="preserve">cat </w:t>
      </w:r>
      <w:r>
        <w:rPr>
          <w:rFonts w:ascii="Arial" w:hAnsi="Arial" w:cs="Arial"/>
        </w:rPr>
        <w:t xml:space="preserve">commands to construct new VCF files that contain only the </w:t>
      </w:r>
      <w:r w:rsidRPr="0025348D">
        <w:rPr>
          <w:rFonts w:ascii="Arial" w:hAnsi="Arial" w:cs="Arial"/>
        </w:rPr>
        <w:t xml:space="preserve">variants specific to </w:t>
      </w:r>
      <w:r>
        <w:rPr>
          <w:rFonts w:ascii="Arial" w:hAnsi="Arial" w:cs="Arial"/>
        </w:rPr>
        <w:t>the experimental strain</w:t>
      </w:r>
      <w:r w:rsidRPr="0025348D">
        <w:rPr>
          <w:rFonts w:ascii="Arial" w:hAnsi="Arial" w:cs="Arial"/>
        </w:rPr>
        <w:t>.</w:t>
      </w:r>
      <w:r>
        <w:rPr>
          <w:rFonts w:ascii="Arial" w:hAnsi="Arial" w:cs="Arial"/>
        </w:rPr>
        <w:t xml:space="preserve"> These VCF files </w:t>
      </w:r>
      <w:r w:rsidRPr="00C876E9">
        <w:rPr>
          <w:rFonts w:ascii="Arial" w:hAnsi="Arial" w:cs="Arial"/>
        </w:rPr>
        <w:t xml:space="preserve">can </w:t>
      </w:r>
      <w:r>
        <w:rPr>
          <w:rFonts w:ascii="Arial" w:hAnsi="Arial" w:cs="Arial"/>
        </w:rPr>
        <w:t>also</w:t>
      </w:r>
      <w:r w:rsidRPr="00C876E9">
        <w:rPr>
          <w:rFonts w:ascii="Arial" w:hAnsi="Arial" w:cs="Arial"/>
        </w:rPr>
        <w:t xml:space="preserve"> be viewed in </w:t>
      </w:r>
      <w:r>
        <w:rPr>
          <w:rFonts w:ascii="Arial" w:hAnsi="Arial" w:cs="Arial"/>
        </w:rPr>
        <w:t xml:space="preserve">IGV. </w:t>
      </w:r>
    </w:p>
    <w:p w14:paraId="2C87C772" w14:textId="77777777" w:rsidR="00817ABD" w:rsidRPr="0025348D" w:rsidRDefault="00817ABD" w:rsidP="00817ABD">
      <w:pPr>
        <w:spacing w:line="480" w:lineRule="auto"/>
        <w:rPr>
          <w:rFonts w:ascii="Arial" w:hAnsi="Arial" w:cs="Arial"/>
        </w:rPr>
      </w:pPr>
    </w:p>
    <w:p w14:paraId="6FFB2186" w14:textId="77777777" w:rsidR="00817ABD" w:rsidRPr="0025348D" w:rsidRDefault="00817ABD" w:rsidP="00817ABD">
      <w:pPr>
        <w:spacing w:line="480" w:lineRule="auto"/>
        <w:ind w:firstLine="0"/>
        <w:rPr>
          <w:rFonts w:ascii="Arial" w:hAnsi="Arial" w:cs="Arial"/>
          <w:b/>
          <w:bCs/>
          <w:i/>
          <w:iCs/>
        </w:rPr>
      </w:pPr>
      <w:r w:rsidRPr="0025348D">
        <w:rPr>
          <w:rFonts w:ascii="Arial" w:hAnsi="Arial" w:cs="Arial"/>
          <w:b/>
          <w:bCs/>
          <w:i/>
          <w:iCs/>
        </w:rPr>
        <w:t>Variant Effect Prediction</w:t>
      </w:r>
    </w:p>
    <w:p w14:paraId="10420BF7" w14:textId="77777777" w:rsidR="00817ABD" w:rsidRDefault="00817ABD" w:rsidP="00817ABD">
      <w:pPr>
        <w:spacing w:line="480" w:lineRule="auto"/>
        <w:ind w:firstLine="720"/>
        <w:rPr>
          <w:rFonts w:ascii="Arial" w:hAnsi="Arial" w:cs="Arial"/>
        </w:rPr>
      </w:pPr>
      <w:proofErr w:type="spellStart"/>
      <w:r>
        <w:rPr>
          <w:rFonts w:ascii="Arial" w:hAnsi="Arial" w:cs="Arial"/>
        </w:rPr>
        <w:t>SnpEff</w:t>
      </w:r>
      <w:proofErr w:type="spellEnd"/>
      <w:r w:rsidRPr="0025348D">
        <w:rPr>
          <w:rFonts w:ascii="Arial" w:hAnsi="Arial" w:cs="Arial"/>
        </w:rPr>
        <w:t xml:space="preserve"> </w:t>
      </w:r>
      <w:r>
        <w:rPr>
          <w:rFonts w:ascii="Arial" w:hAnsi="Arial" w:cs="Arial"/>
        </w:rPr>
        <w:t xml:space="preserve">version 4.3p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(Cingolani </w:t>
      </w:r>
      <w:r w:rsidRPr="00015155">
        <w:rPr>
          <w:rFonts w:ascii="Arial" w:hAnsi="Arial" w:cs="Arial"/>
          <w:i/>
          <w:noProof/>
        </w:rPr>
        <w:t>et al.</w:t>
      </w:r>
      <w:r w:rsidRPr="00015155">
        <w:rPr>
          <w:rFonts w:ascii="Arial" w:hAnsi="Arial" w:cs="Arial"/>
          <w:noProof/>
        </w:rPr>
        <w:t xml:space="preserve"> 2012)</w:t>
      </w:r>
      <w:r>
        <w:rPr>
          <w:rFonts w:ascii="Arial" w:hAnsi="Arial" w:cs="Arial"/>
        </w:rPr>
        <w:fldChar w:fldCharType="end"/>
      </w:r>
      <w:r>
        <w:rPr>
          <w:rFonts w:ascii="Arial" w:hAnsi="Arial" w:cs="Arial"/>
        </w:rPr>
        <w:t xml:space="preserve"> </w:t>
      </w:r>
      <w:r w:rsidRPr="0025348D">
        <w:rPr>
          <w:rFonts w:ascii="Arial" w:hAnsi="Arial" w:cs="Arial"/>
        </w:rPr>
        <w:t>and SIFT</w:t>
      </w:r>
      <w:r>
        <w:rPr>
          <w:rFonts w:ascii="Arial" w:hAnsi="Arial" w:cs="Arial"/>
        </w:rPr>
        <w:t>4G (i.e., SIFT)</w:t>
      </w:r>
      <w:r w:rsidRPr="0025348D">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(Vaser </w:t>
      </w:r>
      <w:r w:rsidRPr="00015155">
        <w:rPr>
          <w:rFonts w:ascii="Arial" w:hAnsi="Arial" w:cs="Arial"/>
          <w:i/>
          <w:noProof/>
        </w:rPr>
        <w:t>et al.</w:t>
      </w:r>
      <w:r w:rsidRPr="00015155">
        <w:rPr>
          <w:rFonts w:ascii="Arial" w:hAnsi="Arial" w:cs="Arial"/>
          <w:noProof/>
        </w:rPr>
        <w:t xml:space="preserve"> 2016)</w:t>
      </w:r>
      <w:r>
        <w:rPr>
          <w:rFonts w:ascii="Arial" w:hAnsi="Arial" w:cs="Arial"/>
        </w:rPr>
        <w:fldChar w:fldCharType="end"/>
      </w:r>
      <w:r>
        <w:rPr>
          <w:rFonts w:ascii="Arial" w:hAnsi="Arial" w:cs="Arial"/>
        </w:rPr>
        <w:t xml:space="preserve"> are useful programs for (1) determining</w:t>
      </w:r>
      <w:r w:rsidRPr="0025348D">
        <w:rPr>
          <w:rFonts w:ascii="Arial" w:hAnsi="Arial" w:cs="Arial"/>
        </w:rPr>
        <w:t xml:space="preserve"> </w:t>
      </w:r>
      <w:r>
        <w:rPr>
          <w:rFonts w:ascii="Arial" w:hAnsi="Arial" w:cs="Arial"/>
        </w:rPr>
        <w:t>whether sequence variants are located in or near an annotated coding region and (2) predicting the effect the variant might have on gene expression or function of the protein product</w:t>
      </w:r>
      <w:r w:rsidRPr="0025348D">
        <w:rPr>
          <w:rFonts w:ascii="Arial" w:hAnsi="Arial" w:cs="Arial"/>
        </w:rPr>
        <w:t xml:space="preserve">. </w:t>
      </w:r>
      <w:proofErr w:type="spellStart"/>
      <w:r>
        <w:rPr>
          <w:rFonts w:ascii="Arial" w:hAnsi="Arial" w:cs="Arial"/>
        </w:rPr>
        <w:t>SnpEff</w:t>
      </w:r>
      <w:proofErr w:type="spellEnd"/>
      <w:r w:rsidRPr="0025348D">
        <w:rPr>
          <w:rFonts w:ascii="Arial" w:hAnsi="Arial" w:cs="Arial"/>
        </w:rPr>
        <w:t xml:space="preserve"> </w:t>
      </w:r>
      <w:r>
        <w:rPr>
          <w:rFonts w:ascii="Arial" w:hAnsi="Arial" w:cs="Arial"/>
        </w:rPr>
        <w:t>determines</w:t>
      </w:r>
      <w:r w:rsidRPr="0025348D">
        <w:rPr>
          <w:rFonts w:ascii="Arial" w:hAnsi="Arial" w:cs="Arial"/>
        </w:rPr>
        <w:t xml:space="preserve"> </w:t>
      </w:r>
      <w:r>
        <w:rPr>
          <w:rFonts w:ascii="Arial" w:hAnsi="Arial" w:cs="Arial"/>
        </w:rPr>
        <w:t>the locations of</w:t>
      </w:r>
      <w:r w:rsidRPr="0025348D">
        <w:rPr>
          <w:rFonts w:ascii="Arial" w:hAnsi="Arial" w:cs="Arial"/>
        </w:rPr>
        <w:t xml:space="preserve"> </w:t>
      </w:r>
      <w:r>
        <w:rPr>
          <w:rFonts w:ascii="Arial" w:hAnsi="Arial" w:cs="Arial"/>
        </w:rPr>
        <w:t>sequence variants</w:t>
      </w:r>
      <w:r w:rsidRPr="0025348D">
        <w:rPr>
          <w:rFonts w:ascii="Arial" w:hAnsi="Arial" w:cs="Arial"/>
        </w:rPr>
        <w:t xml:space="preserve"> </w:t>
      </w:r>
      <w:r>
        <w:rPr>
          <w:rFonts w:ascii="Arial" w:hAnsi="Arial" w:cs="Arial"/>
        </w:rPr>
        <w:t>relative</w:t>
      </w:r>
      <w:r w:rsidRPr="0025348D">
        <w:rPr>
          <w:rFonts w:ascii="Arial" w:hAnsi="Arial" w:cs="Arial"/>
        </w:rPr>
        <w:t xml:space="preserve"> to protein</w:t>
      </w:r>
      <w:r>
        <w:rPr>
          <w:rFonts w:ascii="Arial" w:hAnsi="Arial" w:cs="Arial"/>
        </w:rPr>
        <w:t>-</w:t>
      </w:r>
      <w:r w:rsidRPr="0025348D">
        <w:rPr>
          <w:rFonts w:ascii="Arial" w:hAnsi="Arial" w:cs="Arial"/>
        </w:rPr>
        <w:t>coding genes and</w:t>
      </w:r>
      <w:r w:rsidRPr="00394DBB">
        <w:rPr>
          <w:rFonts w:ascii="Arial" w:hAnsi="Arial" w:cs="Arial"/>
        </w:rPr>
        <w:t xml:space="preserve"> </w:t>
      </w:r>
      <w:r>
        <w:rPr>
          <w:rFonts w:ascii="Arial" w:hAnsi="Arial" w:cs="Arial"/>
        </w:rPr>
        <w:t>the severity of</w:t>
      </w:r>
      <w:r w:rsidRPr="0025348D">
        <w:rPr>
          <w:rFonts w:ascii="Arial" w:hAnsi="Arial" w:cs="Arial"/>
        </w:rPr>
        <w:t xml:space="preserve"> </w:t>
      </w:r>
      <w:r>
        <w:rPr>
          <w:rFonts w:ascii="Arial" w:hAnsi="Arial" w:cs="Arial"/>
        </w:rPr>
        <w:t xml:space="preserve">each variant based on how likely it is to disrupt gene expression or function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(Cingolani </w:t>
      </w:r>
      <w:r w:rsidRPr="00015155">
        <w:rPr>
          <w:rFonts w:ascii="Arial" w:hAnsi="Arial" w:cs="Arial"/>
          <w:i/>
          <w:noProof/>
        </w:rPr>
        <w:t>et al.</w:t>
      </w:r>
      <w:r w:rsidRPr="00015155">
        <w:rPr>
          <w:rFonts w:ascii="Arial" w:hAnsi="Arial" w:cs="Arial"/>
          <w:noProof/>
        </w:rPr>
        <w:t xml:space="preserve"> 2012)</w:t>
      </w:r>
      <w:r>
        <w:rPr>
          <w:rFonts w:ascii="Arial" w:hAnsi="Arial" w:cs="Arial"/>
        </w:rPr>
        <w:fldChar w:fldCharType="end"/>
      </w:r>
      <w:r w:rsidRPr="0025348D">
        <w:rPr>
          <w:rFonts w:ascii="Arial" w:hAnsi="Arial" w:cs="Arial"/>
        </w:rPr>
        <w:t xml:space="preserve">. </w:t>
      </w:r>
      <w:proofErr w:type="spellStart"/>
      <w:r>
        <w:rPr>
          <w:rFonts w:ascii="Arial" w:hAnsi="Arial" w:cs="Arial"/>
        </w:rPr>
        <w:t>SnpEff</w:t>
      </w:r>
      <w:proofErr w:type="spellEnd"/>
      <w:r>
        <w:rPr>
          <w:rFonts w:ascii="Arial" w:hAnsi="Arial" w:cs="Arial"/>
        </w:rPr>
        <w:t xml:space="preserve"> also annotates variants in 5’ and 3’ UTRs as well as promoter regions. This information is vital if the causal mutation disrupts a ncRNA or DNA element rather than altering a protein-coding sequence. </w:t>
      </w:r>
      <w:r w:rsidRPr="0025348D">
        <w:rPr>
          <w:rFonts w:ascii="Arial" w:hAnsi="Arial" w:cs="Arial"/>
        </w:rPr>
        <w:t xml:space="preserve">SIFT </w:t>
      </w:r>
      <w:r>
        <w:rPr>
          <w:rFonts w:ascii="Arial" w:hAnsi="Arial" w:cs="Arial"/>
        </w:rPr>
        <w:t xml:space="preserve">uses the </w:t>
      </w:r>
      <w:r w:rsidRPr="00C674B4">
        <w:rPr>
          <w:rFonts w:ascii="Arial" w:hAnsi="Arial" w:cs="Arial"/>
        </w:rPr>
        <w:t>EF4.74</w:t>
      </w:r>
      <w:r>
        <w:rPr>
          <w:rFonts w:ascii="Arial" w:hAnsi="Arial" w:cs="Arial"/>
        </w:rPr>
        <w:t xml:space="preserve"> library for </w:t>
      </w:r>
      <w:r w:rsidRPr="00C674B4">
        <w:rPr>
          <w:rFonts w:ascii="Arial" w:hAnsi="Arial" w:cs="Arial"/>
          <w:i/>
          <w:iCs/>
        </w:rPr>
        <w:t>S. cerevisiae</w:t>
      </w:r>
      <w:r>
        <w:rPr>
          <w:rFonts w:ascii="Arial" w:hAnsi="Arial" w:cs="Arial"/>
          <w:i/>
          <w:iCs/>
        </w:rPr>
        <w:t xml:space="preserve"> </w:t>
      </w:r>
      <w:r w:rsidRPr="003F6818">
        <w:rPr>
          <w:rFonts w:ascii="Arial" w:hAnsi="Arial" w:cs="Arial"/>
        </w:rPr>
        <w:t>to</w:t>
      </w:r>
      <w:r>
        <w:rPr>
          <w:rFonts w:ascii="Arial" w:hAnsi="Arial" w:cs="Arial"/>
          <w:i/>
          <w:iCs/>
        </w:rPr>
        <w:t xml:space="preserve"> </w:t>
      </w:r>
      <w:r w:rsidRPr="0025348D">
        <w:rPr>
          <w:rFonts w:ascii="Arial" w:hAnsi="Arial" w:cs="Arial"/>
        </w:rPr>
        <w:t>score variants found in protein</w:t>
      </w:r>
      <w:r>
        <w:rPr>
          <w:rFonts w:ascii="Arial" w:hAnsi="Arial" w:cs="Arial"/>
        </w:rPr>
        <w:t>-</w:t>
      </w:r>
      <w:r w:rsidRPr="0025348D">
        <w:rPr>
          <w:rFonts w:ascii="Arial" w:hAnsi="Arial" w:cs="Arial"/>
        </w:rPr>
        <w:t>coding genes</w:t>
      </w:r>
      <w:r>
        <w:rPr>
          <w:rFonts w:ascii="Arial" w:hAnsi="Arial" w:cs="Arial"/>
        </w:rPr>
        <w:t xml:space="preserve"> in order</w:t>
      </w:r>
      <w:r w:rsidRPr="0025348D">
        <w:rPr>
          <w:rFonts w:ascii="Arial" w:hAnsi="Arial" w:cs="Arial"/>
        </w:rPr>
        <w:t xml:space="preserve"> to predict the impact of the resulting amino</w:t>
      </w:r>
      <w:r>
        <w:rPr>
          <w:rFonts w:ascii="Arial" w:hAnsi="Arial" w:cs="Arial"/>
        </w:rPr>
        <w:t xml:space="preserve"> </w:t>
      </w:r>
      <w:r w:rsidRPr="0025348D">
        <w:rPr>
          <w:rFonts w:ascii="Arial" w:hAnsi="Arial" w:cs="Arial"/>
        </w:rPr>
        <w:t xml:space="preserve">acid changes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(Vaser </w:t>
      </w:r>
      <w:r w:rsidRPr="00015155">
        <w:rPr>
          <w:rFonts w:ascii="Arial" w:hAnsi="Arial" w:cs="Arial"/>
          <w:i/>
          <w:noProof/>
        </w:rPr>
        <w:t>et al.</w:t>
      </w:r>
      <w:r w:rsidRPr="00015155">
        <w:rPr>
          <w:rFonts w:ascii="Arial" w:hAnsi="Arial" w:cs="Arial"/>
          <w:noProof/>
        </w:rPr>
        <w:t xml:space="preserve"> 2016)</w:t>
      </w:r>
      <w:r>
        <w:rPr>
          <w:rFonts w:ascii="Arial" w:hAnsi="Arial" w:cs="Arial"/>
        </w:rPr>
        <w:fldChar w:fldCharType="end"/>
      </w:r>
      <w:r>
        <w:rPr>
          <w:rFonts w:ascii="Arial" w:hAnsi="Arial" w:cs="Arial"/>
        </w:rPr>
        <w:t xml:space="preserve">. </w:t>
      </w:r>
      <w:proofErr w:type="spellStart"/>
      <w:r>
        <w:rPr>
          <w:rFonts w:ascii="Arial" w:hAnsi="Arial" w:cs="Arial"/>
        </w:rPr>
        <w:t>MutantHuntWGS</w:t>
      </w:r>
      <w:proofErr w:type="spellEnd"/>
      <w:r>
        <w:rPr>
          <w:rFonts w:ascii="Arial" w:hAnsi="Arial" w:cs="Arial"/>
        </w:rPr>
        <w:t xml:space="preserve"> saves</w:t>
      </w:r>
      <w:r w:rsidRPr="0025348D">
        <w:rPr>
          <w:rFonts w:ascii="Arial" w:hAnsi="Arial" w:cs="Arial"/>
        </w:rPr>
        <w:t xml:space="preserve"> all </w:t>
      </w:r>
      <w:proofErr w:type="spellStart"/>
      <w:r>
        <w:rPr>
          <w:rFonts w:ascii="Arial" w:hAnsi="Arial" w:cs="Arial"/>
        </w:rPr>
        <w:t>SnpEff</w:t>
      </w:r>
      <w:proofErr w:type="spellEnd"/>
      <w:r w:rsidRPr="0025348D">
        <w:rPr>
          <w:rFonts w:ascii="Arial" w:hAnsi="Arial" w:cs="Arial"/>
        </w:rPr>
        <w:t xml:space="preserve"> and SIFT output</w:t>
      </w:r>
      <w:r>
        <w:rPr>
          <w:rFonts w:ascii="Arial" w:hAnsi="Arial" w:cs="Arial"/>
        </w:rPr>
        <w:t xml:space="preserve"> files so </w:t>
      </w:r>
      <w:r w:rsidRPr="0025348D">
        <w:rPr>
          <w:rFonts w:ascii="Arial" w:hAnsi="Arial" w:cs="Arial"/>
        </w:rPr>
        <w:t>the user</w:t>
      </w:r>
      <w:r>
        <w:rPr>
          <w:rFonts w:ascii="Arial" w:hAnsi="Arial" w:cs="Arial"/>
        </w:rPr>
        <w:t xml:space="preserve"> can further filter the results to reduce the number of candidate sequence variants identified.</w:t>
      </w:r>
    </w:p>
    <w:p w14:paraId="50D1C6FD" w14:textId="77777777" w:rsidR="00817ABD" w:rsidRDefault="00817ABD" w:rsidP="00817ABD">
      <w:pPr>
        <w:spacing w:line="480" w:lineRule="auto"/>
        <w:ind w:firstLine="0"/>
        <w:rPr>
          <w:rFonts w:ascii="Arial" w:hAnsi="Arial" w:cs="Arial"/>
          <w:b/>
          <w:bCs/>
          <w:i/>
          <w:iCs/>
        </w:rPr>
      </w:pPr>
    </w:p>
    <w:p w14:paraId="1ACBC3F6" w14:textId="77777777" w:rsidR="00817ABD" w:rsidRDefault="00817ABD" w:rsidP="00817ABD">
      <w:pPr>
        <w:spacing w:line="480" w:lineRule="auto"/>
        <w:ind w:firstLine="0"/>
        <w:rPr>
          <w:rFonts w:ascii="Arial" w:hAnsi="Arial" w:cs="Arial"/>
          <w:b/>
          <w:bCs/>
          <w:i/>
          <w:iCs/>
        </w:rPr>
      </w:pPr>
      <w:r w:rsidRPr="0025348D">
        <w:rPr>
          <w:rFonts w:ascii="Arial" w:hAnsi="Arial" w:cs="Arial"/>
          <w:b/>
          <w:bCs/>
          <w:i/>
          <w:iCs/>
        </w:rPr>
        <w:t>Analysis of previously published data</w:t>
      </w:r>
    </w:p>
    <w:p w14:paraId="16296500" w14:textId="77777777" w:rsidR="00817ABD" w:rsidRDefault="00817ABD" w:rsidP="00817ABD">
      <w:pPr>
        <w:spacing w:line="480" w:lineRule="auto"/>
        <w:ind w:firstLine="720"/>
        <w:rPr>
          <w:rFonts w:ascii="Arial" w:hAnsi="Arial" w:cs="Arial"/>
        </w:rPr>
      </w:pPr>
      <w:r>
        <w:rPr>
          <w:rFonts w:ascii="Arial" w:hAnsi="Arial" w:cs="Arial"/>
        </w:rPr>
        <w:lastRenderedPageBreak/>
        <w:t xml:space="preserve">To demonstrate utility, we used </w:t>
      </w:r>
      <w:proofErr w:type="spellStart"/>
      <w:r w:rsidRPr="0025348D">
        <w:rPr>
          <w:rFonts w:ascii="Arial" w:hAnsi="Arial" w:cs="Arial"/>
        </w:rPr>
        <w:t>MutantHuntWGS</w:t>
      </w:r>
      <w:proofErr w:type="spellEnd"/>
      <w:r w:rsidRPr="0025348D">
        <w:rPr>
          <w:rFonts w:ascii="Arial" w:hAnsi="Arial" w:cs="Arial"/>
        </w:rPr>
        <w:t xml:space="preserve"> to analyze published datasets </w:t>
      </w:r>
      <w:r>
        <w:rPr>
          <w:rFonts w:ascii="Arial" w:hAnsi="Arial" w:cs="Arial"/>
        </w:rPr>
        <w:t xml:space="preserve">from paired-end sequencing experiments with DNA prepared from bulk </w:t>
      </w:r>
      <w:proofErr w:type="spellStart"/>
      <w:r>
        <w:rPr>
          <w:rFonts w:ascii="Arial" w:hAnsi="Arial" w:cs="Arial"/>
        </w:rPr>
        <w:t>segregants</w:t>
      </w:r>
      <w:proofErr w:type="spellEnd"/>
      <w:r>
        <w:rPr>
          <w:rFonts w:ascii="Arial" w:hAnsi="Arial" w:cs="Arial"/>
        </w:rPr>
        <w:t xml:space="preserve"> or lab-evolved </w:t>
      </w:r>
      <w:r w:rsidRPr="00CF70E5">
        <w:rPr>
          <w:rFonts w:ascii="Arial" w:hAnsi="Arial" w:cs="Arial"/>
        </w:rPr>
        <w:t xml:space="preserve">strains </w:t>
      </w:r>
      <w:r w:rsidRPr="008E0D81">
        <w:rPr>
          <w:rFonts w:ascii="Arial" w:hAnsi="Arial" w:cs="Arial"/>
        </w:rPr>
        <w:fldChar w:fldCharType="begin" w:fldLock="1"/>
      </w:r>
      <w:r>
        <w:rPr>
          <w:rFonts w:ascii="Arial" w:hAnsi="Arial" w:cs="Arial"/>
        </w:rPr>
        <w:instrText>ADDIN CSL_CITATION {"citationItems":[{"id":"ITEM-1","itemData":{"DOI":"10.1038/srep27806","ISBN":"2045-2322 (Electronic) 2045-2322 (Linking)","ISSN":"2045-2322","PMID":"27291296","abstract":"The spiroindolones, a new class of antimalarial medicines discovered in a cellular screen, are rendered less active by mutations in a parasite P-type ATPase, PfATP4. We show here that S. cerevisiae also acquires mutations in a gene encoding a P-type ATPase (ScPMA1) after exposure to spiroindolones and that these mutations are sufficient for resistance. KAE609 resistance mutations in ScPMA1 do not confer resistance to unrelated antimicrobials, but do confer cross sensitivity to the alkyl-lysophospholipid edelfosine, which is known to displace ScPma1p from the plasma membrane. Using an in vitro cell-free assay, we demonstrate that KAE609 directly inhibits ScPma1p ATPase activity. KAE609 also increases cytoplasmic hydrogen ion concentrations in yeast cells. Computer docking into a ScPma1p homology model identifies a binding mode that supports genetic resistance determinants and in vitro experimental structure-activity relationships in both P. falciparum and S. cerevisiae. This model also suggests a shared binding site with the dihydroisoquinolones antimalarials. Our data support a model in which KAE609 exerts its antimalarial activity by directly interfering with P-type ATPase activity.","author":[{"dropping-particle":"","family":"Goldgof","given":"Gregory M.","non-dropping-particle":"","parse-names":false,"suffix":""},{"dropping-particle":"","family":"Durrant","given":"Jacob D.","non-dropping-particle":"","parse-names":false,"suffix":""},{"dropping-particle":"","family":"Ottilie","given":"Sabine","non-dropping-particle":"","parse-names":false,"suffix":""},{"dropping-particle":"","family":"Vigil","given":"Edgar","non-dropping-particle":"","parse-names":false,"suffix":""},{"dropping-particle":"","family":"Allen","given":"Kenneth E.","non-dropping-particle":"","parse-names":false,"suffix":""},{"dropping-particle":"","family":"Gunawan","given":"Felicia","non-dropping-particle":"","parse-names":false,"suffix":""},{"dropping-particle":"","family":"Kostylev","given":"Maxim","non-dropping-particle":"","parse-names":false,"suffix":""},{"dropping-particle":"","family":"Henderson","given":"Kiersten A.","non-dropping-particle":"","parse-names":false,"suffix":""},{"dropping-particle":"","family":"Yang","given":"Jennifer","non-dropping-particle":"","parse-names":false,"suffix":""},{"dropping-particle":"","family":"Schenken","given":"Jake","non-dropping-particle":"","parse-names":false,"suffix":""},{"dropping-particle":"","family":"LaMonte","given":"Gregory M.","non-dropping-particle":"","parse-names":false,"suffix":""},{"dropping-particle":"","family":"Manary","given":"Micah J.","non-dropping-particle":"","parse-names":false,"suffix":""},{"dropping-particle":"","family":"Murao","given":"Ayako","non-dropping-particle":"","parse-names":false,"suffix":""},{"dropping-particle":"","family":"Nachon","given":"Marie","non-dropping-particle":"","parse-names":false,"suffix":""},{"dropping-particle":"","family":"Stanhope","given":"Rebecca","non-dropping-particle":"","parse-names":false,"suffix":""},{"dropping-particle":"","family":"Prescott","given":"Maximo","non-dropping-particle":"","parse-names":false,"suffix":""},{"dropping-particle":"","family":"McNamara","given":"Case W.","non-dropping-particle":"","parse-names":false,"suffix":""},{"dropping-particle":"","family":"Slayman","given":"Carolyn W.","non-dropping-particle":"","parse-names":false,"suffix":""},{"dropping-particle":"","family":"Amaro","given":"Rommie E.","non-dropping-particle":"","parse-names":false,"suffix":""},{"dropping-particle":"","family":"Suzuki","given":"Yo","non-dropping-particle":"","parse-names":false,"suffix":""},{"dropping-particle":"","family":"Winzeler","given":"Elizabeth A.","non-dropping-particle":"","parse-names":false,"suffix":""}],"container-title":"Scientific Reports","id":"ITEM-1","issue":"1","issued":{"date-parts":[["2016","6","13"]]},"page":"27806","publisher":"Nature Publishing Group","title":"Comparative chemical genomics reveal that the spiroindolone antimalarial KAE609 (Cipargamin) is a P-type ATPase inhibitor","type":"article-journal","volume":"6"},"uris":["http://www.mendeley.com/documents/?uuid=b4656373-7204-4a8b-9911-dae9805785a4"]},{"id":"ITEM-2","itemData":{"DOI":"10.1021/acschembio.6b01037","ISSN":"15548937","abstract":"Recent advances in cell-based, high-throughput phenotypic screening have identified new chemical compounds that are active against eukaryotic pathogens. A challenge to their future development lies in identifying these compounds’ molecular targets and binding modes. In particular, subsequent structure-based chemical optimization and target-based screening require a detailed understanding of the binding event. Here, we use directed evolution and whole-genome sequencing of a drug-sensitive S. cerevisiae strain to identify the yeast ortholog of TcCyp51, lanosterol-14-alpha-demethylase (TcCyp51), as the target of MMV001239, a benzamide compound with activity against Trypanosoma cruzi, the etiological agent of Chagas disease. We show that parasites treated with MMV0001239 phenocopy parasites treated with another TcCyp51 inhibitor, posaconazole, accumulating both lanosterol and eburicol. Direct drug–protein binding of MMV0001239 was confirmed through spectrophotometric binding assays and X-ray crystallography, ...","author":[{"dropping-particle":"","family":"Ottilie","given":"Sabine","non-dropping-particle":"","parse-names":false,"suffix":""},{"dropping-particle":"","family":"Goldgof","given":"Gregory M.","non-dropping-particle":"","parse-names":false,"suffix":""},{"dropping-particle":"","family":"Calvet","given":"Claudia Magalhaes","non-dropping-particle":"","parse-names":false,"suffix":""},{"dropping-particle":"","family":"Jennings","given":"Gareth K.","non-dropping-particle":"","parse-names":false,"suffix":""},{"dropping-particle":"","family":"Lamonte","given":"Greg","non-dropping-particle":"","parse-names":false,"suffix":""},{"dropping-particle":"","family":"Schenken","given":"Jake","non-dropping-particle":"","parse-names":false,"suffix":""},{"dropping-particle":"","family":"Vigil","given":"Edgar","non-dropping-particle":"","parse-names":false,"suffix":""},{"dropping-particle":"","family":"Kumar","given":"Prianka","non-dropping-particle":"","parse-names":false,"suffix":""},{"dropping-particle":"","family":"McCall","given":"Laura Isobel","non-dropping-particle":"","parse-names":false,"suffix":""},{"dropping-particle":"","family":"Lopes","given":"Eduardo Soares Constantino","non-dropping-particle":"","parse-names":false,"suffix":""},{"dropping-particle":"","family":"Gunawan","given":"Felicia","non-dropping-particle":"","parse-names":false,"suffix":""},{"dropping-particle":"","family":"Yang","given":"Jennifer","non-dropping-particle":"","parse-names":false,"suffix":""},{"dropping-particle":"","family":"Suzuki","given":"Yo","non-dropping-particle":"","parse-names":false,"suffix":""},{"dropping-particle":"","family":"Siqueira-Neto","given":"Jair L.","non-dropping-particle":"","parse-names":false,"suffix":""},{"dropping-particle":"","family":"McKerrow","given":"James H.","non-dropping-particle":"","parse-names":false,"suffix":""},{"dropping-particle":"","family":"Amaro","given":"Rommie E.","non-dropping-particle":"","parse-names":false,"suffix":""},{"dropping-particle":"","family":"Podust","given":"Larissa M.","non-dropping-particle":"","parse-names":false,"suffix":""},{"dropping-particle":"","family":"Durrant","given":"Jacob D.","non-dropping-particle":"","parse-names":false,"suffix":""},{"dropping-particle":"","family":"Winzeler","given":"Elizabeth A.","non-dropping-particle":"","parse-names":false,"suffix":""}],"container-title":"ACS Chemical Biology","id":"ITEM-2","issue":"2","issued":{"date-parts":[["2017"]]},"page":"422-434","title":"Rapid Chagas Disease Drug Target Discovery Using Directed Evolution in Drug-Sensitive Yeast","type":"article-journal","volume":"12"},"uris":["http://www.mendeley.com/documents/?uuid=4f4383a6-6d4b-4875-84e5-a1034b6b846a"]},{"id":"ITEM-3","itemData":{"DOI":"10.1534/genetics.110.123232","ISSN":"0016-6731","PMID":"20923977","abstract":"Many novel and important mutations arise in model organisms and human patients that can be difficult or impossible to identify using standard genetic approaches, especially for complex traits. Working with a previously uncharacterized dominant Saccharomyces cerevisiae mutant with impaired vacuole inheritance, we developed a pooled linkage strategy based on next-generation DNA sequencing to specifically identify functional mutations from among a large excess of polymorphisms, incidental mutations, and sequencing errors. The VAC6-1 mutation was verified to correspond to PHO81-R701S, the highest priority candidate reported by VAMP, the new software platform developed for these studies. Sequence data further revealed the large extent of strain background polymorphisms and structural alterations present in the host strain, which occurred by several mechanisms including a novel Ty insertion. The results provide a snapshot of the ongoing genomic changes that ultimately result in strain divergence and evolution, as well as a general model for the discovery of functional mutations in many organisms.","author":[{"dropping-particle":"","family":"Birkeland","given":"Shanda R.","non-dropping-particle":"","parse-names":false,"suffix":""},{"dropping-particle":"","family":"Jin","given":"Natsuko","non-dropping-particle":"","parse-names":false,"suffix":""},{"dropping-particle":"","family":"Ozdemir","given":"Alev Cagla","non-dropping-particle":"","parse-names":false,"suffix":""},{"dropping-particle":"","family":"Lyons","given":"Robert H.","non-dropping-particle":"","parse-names":false,"suffix":""},{"dropping-particle":"","family":"Weisman","given":"Lois S.","non-dropping-particle":"","parse-names":false,"suffix":""},{"dropping-particle":"","family":"Wilson","given":"Thomas E.","non-dropping-particle":"","parse-names":false,"suffix":""}],"container-title":"Genetics","id":"ITEM-3","issue":"4","issued":{"date-parts":[["2010","12","31"]]},"page":"1127-1137","title":"Discovery of Mutations in Saccharomyces cerevisiae by Pooled Linkage Analysis and Whole-Genome Sequencing","type":"article-journal","volume":"186"},"uris":["http://www.mendeley.com/documents/?uuid=726c290c-57b7-41d2-911b-a59631c05218"]}],"mendeley":{"formattedCitation":"(Birkeland &lt;i&gt;et al.&lt;/i&gt; 2010; Goldgof &lt;i&gt;et al.&lt;/i&gt; 2016; Ottilie &lt;i&gt;et al.&lt;/i&gt; 2017)","plainTextFormattedCitation":"(Birkeland et al. 2010; Goldgof et al. 2016; Ottilie et al. 2017)","previouslyFormattedCitation":"(Baryshnikova &lt;i&gt;et al.&lt;/i&gt; 2013; Goldgof &lt;i&gt;et al.&lt;/i&gt; 2016; Ottilie &lt;i&gt;et al.&lt;/i&gt; 2017)"},"properties":{"noteIndex":0},"schema":"https://github.com/citation-style-language/schema/raw/master/csl-citation.json"}</w:instrText>
      </w:r>
      <w:r w:rsidRPr="008E0D81">
        <w:rPr>
          <w:rFonts w:ascii="Arial" w:hAnsi="Arial" w:cs="Arial"/>
        </w:rPr>
        <w:fldChar w:fldCharType="separate"/>
      </w:r>
      <w:r w:rsidRPr="00CA7E00">
        <w:rPr>
          <w:rFonts w:ascii="Arial" w:hAnsi="Arial" w:cs="Arial"/>
          <w:noProof/>
        </w:rPr>
        <w:t xml:space="preserve">(Birkeland </w:t>
      </w:r>
      <w:r w:rsidRPr="00CA7E00">
        <w:rPr>
          <w:rFonts w:ascii="Arial" w:hAnsi="Arial" w:cs="Arial"/>
          <w:i/>
          <w:noProof/>
        </w:rPr>
        <w:t>et al.</w:t>
      </w:r>
      <w:r w:rsidRPr="00CA7E00">
        <w:rPr>
          <w:rFonts w:ascii="Arial" w:hAnsi="Arial" w:cs="Arial"/>
          <w:noProof/>
        </w:rPr>
        <w:t xml:space="preserve"> 2010; Goldgof </w:t>
      </w:r>
      <w:r w:rsidRPr="00CA7E00">
        <w:rPr>
          <w:rFonts w:ascii="Arial" w:hAnsi="Arial" w:cs="Arial"/>
          <w:i/>
          <w:noProof/>
        </w:rPr>
        <w:t>et al.</w:t>
      </w:r>
      <w:r w:rsidRPr="00CA7E00">
        <w:rPr>
          <w:rFonts w:ascii="Arial" w:hAnsi="Arial" w:cs="Arial"/>
          <w:noProof/>
        </w:rPr>
        <w:t xml:space="preserve"> 2016; Ottilie </w:t>
      </w:r>
      <w:r w:rsidRPr="00CA7E00">
        <w:rPr>
          <w:rFonts w:ascii="Arial" w:hAnsi="Arial" w:cs="Arial"/>
          <w:i/>
          <w:noProof/>
        </w:rPr>
        <w:t>et al.</w:t>
      </w:r>
      <w:r w:rsidRPr="00CA7E00">
        <w:rPr>
          <w:rFonts w:ascii="Arial" w:hAnsi="Arial" w:cs="Arial"/>
          <w:noProof/>
        </w:rPr>
        <w:t xml:space="preserve"> 2017)</w:t>
      </w:r>
      <w:r w:rsidRPr="008E0D81">
        <w:rPr>
          <w:rFonts w:ascii="Arial" w:hAnsi="Arial" w:cs="Arial"/>
        </w:rPr>
        <w:fldChar w:fldCharType="end"/>
      </w:r>
      <w:r w:rsidRPr="00CF70E5">
        <w:rPr>
          <w:rFonts w:ascii="Arial" w:hAnsi="Arial" w:cs="Arial"/>
        </w:rPr>
        <w:t xml:space="preserve">. </w:t>
      </w:r>
      <w:r w:rsidRPr="008E0D81">
        <w:rPr>
          <w:rFonts w:ascii="Arial" w:hAnsi="Arial" w:cs="Arial"/>
        </w:rPr>
        <w:t xml:space="preserve">These data were downloaded from the sequence </w:t>
      </w:r>
      <w:r w:rsidRPr="001967D5">
        <w:rPr>
          <w:rFonts w:ascii="Arial" w:hAnsi="Arial" w:cs="Arial"/>
        </w:rPr>
        <w:t>r</w:t>
      </w:r>
      <w:r w:rsidRPr="00D31A3E">
        <w:rPr>
          <w:rFonts w:ascii="Arial" w:hAnsi="Arial" w:cs="Arial"/>
        </w:rPr>
        <w:t>ead</w:t>
      </w:r>
      <w:r w:rsidRPr="006A7EFA">
        <w:rPr>
          <w:rFonts w:ascii="Arial" w:hAnsi="Arial" w:cs="Arial"/>
        </w:rPr>
        <w:t xml:space="preserve"> ar</w:t>
      </w:r>
      <w:r w:rsidRPr="009B1981">
        <w:rPr>
          <w:rFonts w:ascii="Arial" w:hAnsi="Arial" w:cs="Arial"/>
        </w:rPr>
        <w:t>ch</w:t>
      </w:r>
      <w:r w:rsidRPr="00C61424">
        <w:rPr>
          <w:rFonts w:ascii="Arial" w:hAnsi="Arial" w:cs="Arial"/>
        </w:rPr>
        <w:t>ive (</w:t>
      </w:r>
      <w:r w:rsidRPr="007238F0">
        <w:rPr>
          <w:rFonts w:ascii="Arial" w:hAnsi="Arial" w:cs="Arial"/>
        </w:rPr>
        <w:t>SRA) database</w:t>
      </w:r>
      <w:r w:rsidRPr="007E579F">
        <w:rPr>
          <w:rFonts w:ascii="Arial" w:hAnsi="Arial" w:cs="Arial"/>
        </w:rPr>
        <w:t xml:space="preserve"> (</w:t>
      </w:r>
      <w:hyperlink r:id="rId5" w:history="1">
        <w:r w:rsidRPr="007E579F">
          <w:rPr>
            <w:rStyle w:val="Hyperlink"/>
            <w:rFonts w:ascii="Arial" w:hAnsi="Arial" w:cs="Arial"/>
          </w:rPr>
          <w:t>https://www.ncbi.nlm.nih.gov/sra</w:t>
        </w:r>
      </w:hyperlink>
      <w:r>
        <w:rPr>
          <w:rFonts w:ascii="Arial" w:hAnsi="Arial" w:cs="Arial"/>
        </w:rPr>
        <w:t>;</w:t>
      </w:r>
      <w:r w:rsidRPr="007E579F">
        <w:rPr>
          <w:rFonts w:ascii="Arial" w:hAnsi="Arial" w:cs="Arial"/>
        </w:rPr>
        <w:t xml:space="preserve"> project accessions: </w:t>
      </w:r>
      <w:r w:rsidRPr="00CF70E5">
        <w:rPr>
          <w:rFonts w:ascii="Arial" w:hAnsi="Arial" w:cs="Arial"/>
        </w:rPr>
        <w:t>SRP003355</w:t>
      </w:r>
      <w:r w:rsidRPr="008E0D81">
        <w:rPr>
          <w:rFonts w:ascii="Arial" w:hAnsi="Arial" w:cs="Arial"/>
        </w:rPr>
        <w:t xml:space="preserve">, SRP074482, </w:t>
      </w:r>
      <w:r w:rsidRPr="007E579F">
        <w:rPr>
          <w:rFonts w:ascii="Arial" w:hAnsi="Arial" w:cs="Arial"/>
        </w:rPr>
        <w:t xml:space="preserve"> </w:t>
      </w:r>
      <w:r w:rsidRPr="00CF70E5">
        <w:rPr>
          <w:rFonts w:ascii="Arial" w:hAnsi="Arial" w:cs="Arial"/>
        </w:rPr>
        <w:t>SRP074623</w:t>
      </w:r>
      <w:r>
        <w:rPr>
          <w:rFonts w:ascii="Arial" w:hAnsi="Arial" w:cs="Arial"/>
        </w:rPr>
        <w:t xml:space="preserve">) </w:t>
      </w:r>
      <w:r w:rsidRPr="00B37A3C">
        <w:rPr>
          <w:rFonts w:ascii="Arial" w:hAnsi="Arial" w:cs="Arial"/>
        </w:rPr>
        <w:t>and decompressed using</w:t>
      </w:r>
      <w:r>
        <w:rPr>
          <w:rFonts w:ascii="Arial" w:hAnsi="Arial" w:cs="Arial"/>
        </w:rPr>
        <w:t xml:space="preserve"> the SRA toolkit</w:t>
      </w:r>
      <w:r w:rsidRPr="008E0D81">
        <w:t xml:space="preserve"> </w:t>
      </w:r>
      <w:r>
        <w:t>(</w:t>
      </w:r>
      <w:hyperlink r:id="rId6" w:history="1">
        <w:r w:rsidRPr="008E0D81">
          <w:rPr>
            <w:rStyle w:val="Hyperlink"/>
            <w:rFonts w:ascii="Arial" w:hAnsi="Arial" w:cs="Arial"/>
          </w:rPr>
          <w:t>https://github.com/ncbi/sra-tools/wiki</w:t>
        </w:r>
      </w:hyperlink>
      <w:r>
        <w:rPr>
          <w:rFonts w:ascii="Arial" w:hAnsi="Arial" w:cs="Arial"/>
        </w:rPr>
        <w:t xml:space="preserve">). </w:t>
      </w:r>
      <w:proofErr w:type="spellStart"/>
      <w:r>
        <w:rPr>
          <w:rFonts w:ascii="Arial" w:hAnsi="Arial" w:cs="Arial"/>
        </w:rPr>
        <w:t>MutantHuntWGS</w:t>
      </w:r>
      <w:proofErr w:type="spellEnd"/>
      <w:r>
        <w:rPr>
          <w:rFonts w:ascii="Arial" w:hAnsi="Arial" w:cs="Arial"/>
        </w:rPr>
        <w:t xml:space="preserve"> was run from within the Docker container, and each published mutant (experimental) file was compared to its respective published control. When processing data from bulk </w:t>
      </w:r>
      <w:proofErr w:type="spellStart"/>
      <w:r>
        <w:rPr>
          <w:rFonts w:ascii="Arial" w:hAnsi="Arial" w:cs="Arial"/>
        </w:rPr>
        <w:t>segregant</w:t>
      </w:r>
      <w:proofErr w:type="spellEnd"/>
      <w:r>
        <w:rPr>
          <w:rFonts w:ascii="Arial" w:hAnsi="Arial" w:cs="Arial"/>
        </w:rPr>
        <w:t xml:space="preserve"> analysis, we reduced the number of candidate variants by additionally using more stringent cutoffs: variant quality score &gt; 130, </w:t>
      </w:r>
      <w:proofErr w:type="spellStart"/>
      <w:r>
        <w:rPr>
          <w:rFonts w:ascii="Arial" w:hAnsi="Arial" w:cs="Arial"/>
        </w:rPr>
        <w:t>SnpEff</w:t>
      </w:r>
      <w:proofErr w:type="spellEnd"/>
      <w:r>
        <w:rPr>
          <w:rFonts w:ascii="Arial" w:hAnsi="Arial" w:cs="Arial"/>
        </w:rPr>
        <w:t xml:space="preserve"> impact score &gt; Moderate, and SIFT score &lt; 0.05 (deleterious).</w:t>
      </w:r>
    </w:p>
    <w:p w14:paraId="4D14600E" w14:textId="77777777" w:rsidR="00817ABD" w:rsidRDefault="00817ABD" w:rsidP="00817ABD">
      <w:pPr>
        <w:spacing w:line="480" w:lineRule="auto"/>
        <w:rPr>
          <w:rFonts w:ascii="Arial" w:hAnsi="Arial" w:cs="Arial"/>
          <w:b/>
          <w:bCs/>
        </w:rPr>
      </w:pPr>
    </w:p>
    <w:p w14:paraId="21B5D5A0" w14:textId="77777777" w:rsidR="00817ABD" w:rsidRPr="00273C99" w:rsidRDefault="00817ABD" w:rsidP="00817ABD">
      <w:pPr>
        <w:spacing w:line="480" w:lineRule="auto"/>
        <w:ind w:firstLine="0"/>
        <w:rPr>
          <w:rFonts w:ascii="Arial" w:hAnsi="Arial" w:cs="Arial"/>
          <w:b/>
          <w:bCs/>
        </w:rPr>
      </w:pPr>
      <w:r>
        <w:rPr>
          <w:rFonts w:ascii="Arial" w:hAnsi="Arial" w:cs="Arial"/>
          <w:b/>
          <w:bCs/>
        </w:rPr>
        <w:t>SUPPLEMENTAL METHODS: LITERATURE CITED</w:t>
      </w:r>
    </w:p>
    <w:p w14:paraId="57D11B1D"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rPr>
        <w:fldChar w:fldCharType="begin" w:fldLock="1"/>
      </w:r>
      <w:r w:rsidRPr="00B64B78">
        <w:rPr>
          <w:rFonts w:ascii="Arial" w:hAnsi="Arial" w:cs="Arial"/>
        </w:rPr>
        <w:instrText xml:space="preserve">ADDIN Mendeley Bibliography CSL_BIBLIOGRAPHY </w:instrText>
      </w:r>
      <w:r w:rsidRPr="00B64B78">
        <w:rPr>
          <w:rFonts w:ascii="Arial" w:hAnsi="Arial" w:cs="Arial"/>
        </w:rPr>
        <w:fldChar w:fldCharType="separate"/>
      </w:r>
      <w:r w:rsidRPr="00B64B78">
        <w:rPr>
          <w:rFonts w:ascii="Arial" w:hAnsi="Arial" w:cs="Arial"/>
          <w:noProof/>
        </w:rPr>
        <w:t>Aho A. V., B. W. Kernighan, and P. J. Weinberger, 1979 Awk a pattern scanning and processing language. Softw. Pract. Exp. 9: 267–279. https://doi.org/10.1002/spe.4380090403</w:t>
      </w:r>
    </w:p>
    <w:p w14:paraId="0C0A0606"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 xml:space="preserve">Birkeland S. R., N. Jin, A. C. Ozdemir, R. H. Lyons, L. S. Weisman, </w:t>
      </w:r>
      <w:r w:rsidRPr="00B64B78">
        <w:rPr>
          <w:rFonts w:ascii="Arial" w:hAnsi="Arial" w:cs="Arial"/>
          <w:i/>
          <w:iCs/>
          <w:noProof/>
        </w:rPr>
        <w:t>et al.</w:t>
      </w:r>
      <w:r w:rsidRPr="00B64B78">
        <w:rPr>
          <w:rFonts w:ascii="Arial" w:hAnsi="Arial" w:cs="Arial"/>
          <w:noProof/>
        </w:rPr>
        <w:t xml:space="preserve">, 2010 Discovery of Mutations in </w:t>
      </w:r>
      <w:r w:rsidRPr="00B64B78">
        <w:rPr>
          <w:rFonts w:ascii="Arial" w:hAnsi="Arial" w:cs="Arial"/>
          <w:i/>
          <w:iCs/>
          <w:noProof/>
        </w:rPr>
        <w:t>Saccharomyces cerevisiae</w:t>
      </w:r>
      <w:r w:rsidRPr="00B64B78">
        <w:rPr>
          <w:rFonts w:ascii="Arial" w:hAnsi="Arial" w:cs="Arial"/>
          <w:noProof/>
        </w:rPr>
        <w:t xml:space="preserve"> by </w:t>
      </w:r>
      <w:r>
        <w:rPr>
          <w:rFonts w:ascii="Arial" w:hAnsi="Arial" w:cs="Arial"/>
          <w:noProof/>
        </w:rPr>
        <w:t>p</w:t>
      </w:r>
      <w:r w:rsidRPr="00B64B78">
        <w:rPr>
          <w:rFonts w:ascii="Arial" w:hAnsi="Arial" w:cs="Arial"/>
          <w:noProof/>
        </w:rPr>
        <w:t xml:space="preserve">ooled </w:t>
      </w:r>
      <w:r>
        <w:rPr>
          <w:rFonts w:ascii="Arial" w:hAnsi="Arial" w:cs="Arial"/>
          <w:noProof/>
        </w:rPr>
        <w:t>l</w:t>
      </w:r>
      <w:r w:rsidRPr="00B64B78">
        <w:rPr>
          <w:rFonts w:ascii="Arial" w:hAnsi="Arial" w:cs="Arial"/>
          <w:noProof/>
        </w:rPr>
        <w:t xml:space="preserve">inkage </w:t>
      </w:r>
      <w:r>
        <w:rPr>
          <w:rFonts w:ascii="Arial" w:hAnsi="Arial" w:cs="Arial"/>
          <w:noProof/>
        </w:rPr>
        <w:t>a</w:t>
      </w:r>
      <w:r w:rsidRPr="00B64B78">
        <w:rPr>
          <w:rFonts w:ascii="Arial" w:hAnsi="Arial" w:cs="Arial"/>
          <w:noProof/>
        </w:rPr>
        <w:t xml:space="preserve">nalysis and </w:t>
      </w:r>
      <w:r>
        <w:rPr>
          <w:rFonts w:ascii="Arial" w:hAnsi="Arial" w:cs="Arial"/>
          <w:noProof/>
        </w:rPr>
        <w:t>w</w:t>
      </w:r>
      <w:r w:rsidRPr="00B64B78">
        <w:rPr>
          <w:rFonts w:ascii="Arial" w:hAnsi="Arial" w:cs="Arial"/>
          <w:noProof/>
        </w:rPr>
        <w:t>hole-</w:t>
      </w:r>
      <w:r>
        <w:rPr>
          <w:rFonts w:ascii="Arial" w:hAnsi="Arial" w:cs="Arial"/>
          <w:noProof/>
        </w:rPr>
        <w:t>g</w:t>
      </w:r>
      <w:r w:rsidRPr="00B64B78">
        <w:rPr>
          <w:rFonts w:ascii="Arial" w:hAnsi="Arial" w:cs="Arial"/>
          <w:noProof/>
        </w:rPr>
        <w:t xml:space="preserve">enome </w:t>
      </w:r>
      <w:r>
        <w:rPr>
          <w:rFonts w:ascii="Arial" w:hAnsi="Arial" w:cs="Arial"/>
          <w:noProof/>
        </w:rPr>
        <w:t>s</w:t>
      </w:r>
      <w:r w:rsidRPr="00B64B78">
        <w:rPr>
          <w:rFonts w:ascii="Arial" w:hAnsi="Arial" w:cs="Arial"/>
          <w:noProof/>
        </w:rPr>
        <w:t>equencing. Genetics 186: 1127–1137. https://doi.org/10.1534/genetics.110.123232</w:t>
      </w:r>
    </w:p>
    <w:p w14:paraId="7795C987"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 xml:space="preserve">Cherry J. M., E. L. Hong, C. Amundsen, R. Balakrishnan, G. Binkley, </w:t>
      </w:r>
      <w:r w:rsidRPr="00B64B78">
        <w:rPr>
          <w:rFonts w:ascii="Arial" w:hAnsi="Arial" w:cs="Arial"/>
          <w:i/>
          <w:iCs/>
          <w:noProof/>
        </w:rPr>
        <w:t>et al.</w:t>
      </w:r>
      <w:r w:rsidRPr="00B64B78">
        <w:rPr>
          <w:rFonts w:ascii="Arial" w:hAnsi="Arial" w:cs="Arial"/>
          <w:noProof/>
        </w:rPr>
        <w:t>, 2012 Saccharomyces Genome Database: The genomics resource of budding yeast. Nucleic Acids Res. 40: 1–6. https://doi.org/10.1093/nar/gkr1029</w:t>
      </w:r>
    </w:p>
    <w:p w14:paraId="48612678"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lastRenderedPageBreak/>
        <w:t xml:space="preserve">Cingolani P., A. Platts, M. Coon, T. Nguyen, L. Wang, </w:t>
      </w:r>
      <w:r w:rsidRPr="00B64B78">
        <w:rPr>
          <w:rFonts w:ascii="Arial" w:hAnsi="Arial" w:cs="Arial"/>
          <w:i/>
          <w:iCs/>
          <w:noProof/>
        </w:rPr>
        <w:t>et al.</w:t>
      </w:r>
      <w:r w:rsidRPr="00B64B78">
        <w:rPr>
          <w:rFonts w:ascii="Arial" w:hAnsi="Arial" w:cs="Arial"/>
          <w:noProof/>
        </w:rPr>
        <w:t>, 2012 A program for annotating and predicting the effects of single nucleotide polymorphisms, SnpEff: SNPs in the genome of Drosophila melanogaster strain w1118; iso-2; iso-3. Fly (Austin). 6: 80–92.</w:t>
      </w:r>
    </w:p>
    <w:p w14:paraId="520DAF1F"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 xml:space="preserve">Danecek P., A. Auton, G. Abecasis, C. A. Albers, E. Banks, </w:t>
      </w:r>
      <w:r w:rsidRPr="00B64B78">
        <w:rPr>
          <w:rFonts w:ascii="Arial" w:hAnsi="Arial" w:cs="Arial"/>
          <w:i/>
          <w:iCs/>
          <w:noProof/>
        </w:rPr>
        <w:t>et al.</w:t>
      </w:r>
      <w:r w:rsidRPr="00B64B78">
        <w:rPr>
          <w:rFonts w:ascii="Arial" w:hAnsi="Arial" w:cs="Arial"/>
          <w:noProof/>
        </w:rPr>
        <w:t>, 2011 The variant call format and VCFtools. Bioinformatics 27: 2156–2158. https://doi.org/10.1093/bioinformatics/btr330</w:t>
      </w:r>
    </w:p>
    <w:p w14:paraId="720416D2"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 xml:space="preserve">Engel S. R., F. S. Dietrich, D. G. Fisk, G. Binkley, R. Balakrishnan, </w:t>
      </w:r>
      <w:r w:rsidRPr="00B64B78">
        <w:rPr>
          <w:rFonts w:ascii="Arial" w:hAnsi="Arial" w:cs="Arial"/>
          <w:i/>
          <w:iCs/>
          <w:noProof/>
        </w:rPr>
        <w:t>et al.</w:t>
      </w:r>
      <w:r w:rsidRPr="00B64B78">
        <w:rPr>
          <w:rFonts w:ascii="Arial" w:hAnsi="Arial" w:cs="Arial"/>
          <w:noProof/>
        </w:rPr>
        <w:t>, 2014 The reference genome sequence of Saccharomyces cerevisiae: then and now. G3 (Bethesda). 4: 389–98. https://doi.org/10.1534/g3.113.008995</w:t>
      </w:r>
    </w:p>
    <w:p w14:paraId="21EC58F9"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 xml:space="preserve">Goldgof G. M., J. D. Durrant, S. Ottilie, E. Vigil, K. E. Allen, </w:t>
      </w:r>
      <w:r w:rsidRPr="00B64B78">
        <w:rPr>
          <w:rFonts w:ascii="Arial" w:hAnsi="Arial" w:cs="Arial"/>
          <w:i/>
          <w:iCs/>
          <w:noProof/>
        </w:rPr>
        <w:t>et al.</w:t>
      </w:r>
      <w:r w:rsidRPr="00B64B78">
        <w:rPr>
          <w:rFonts w:ascii="Arial" w:hAnsi="Arial" w:cs="Arial"/>
          <w:noProof/>
        </w:rPr>
        <w:t>, 2016 Comparative chemical genomics reveal that the spiroindolone antimalarial KAE609 (Cipargamin) is a P-type ATPase inhibitor. Sci. Rep. 6: 27806. https://doi.org/10.1038/srep27806</w:t>
      </w:r>
    </w:p>
    <w:p w14:paraId="031E047B"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Langmead B., and S. L. Salzberg, 2012 Fast gapped-read alignment with Bowtie 2. Nat. Methods 9: 357–359. https://doi.org/10.1038/nmeth.1923</w:t>
      </w:r>
    </w:p>
    <w:p w14:paraId="319E82C1"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 xml:space="preserve">Li H., B. Handsaker, A. Wysoker, T. Fennell, J. Ruan, </w:t>
      </w:r>
      <w:r w:rsidRPr="00B64B78">
        <w:rPr>
          <w:rFonts w:ascii="Arial" w:hAnsi="Arial" w:cs="Arial"/>
          <w:i/>
          <w:iCs/>
          <w:noProof/>
        </w:rPr>
        <w:t>et al.</w:t>
      </w:r>
      <w:r w:rsidRPr="00B64B78">
        <w:rPr>
          <w:rFonts w:ascii="Arial" w:hAnsi="Arial" w:cs="Arial"/>
          <w:noProof/>
        </w:rPr>
        <w:t>, 2009 The Sequence Alignment/Map format and SAMtools. Bioinformatics 25: 2078–2079. https://doi.org/10.1093/bioinformatics/btp352</w:t>
      </w:r>
    </w:p>
    <w:p w14:paraId="290AF611"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Li H., 2011 A statistical framework for SNP calling, mutation discovery, association mapping and population genetical parameter estimation from sequencing data. Bioinformatics 27: 2987–2993. https://doi.org/10.1093/bioinformatics/btr509</w:t>
      </w:r>
    </w:p>
    <w:p w14:paraId="248EAD63"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 xml:space="preserve">Ottilie S., G. M. Goldgof, C. M. Calvet, G. K. Jennings, G. Lamonte, </w:t>
      </w:r>
      <w:r w:rsidRPr="00B64B78">
        <w:rPr>
          <w:rFonts w:ascii="Arial" w:hAnsi="Arial" w:cs="Arial"/>
          <w:i/>
          <w:iCs/>
          <w:noProof/>
        </w:rPr>
        <w:t>et al.</w:t>
      </w:r>
      <w:r w:rsidRPr="00B64B78">
        <w:rPr>
          <w:rFonts w:ascii="Arial" w:hAnsi="Arial" w:cs="Arial"/>
          <w:noProof/>
        </w:rPr>
        <w:t xml:space="preserve">, 2017 Rapid Chagas Disease Drug Target Discovery Using </w:t>
      </w:r>
      <w:r>
        <w:rPr>
          <w:rFonts w:ascii="Arial" w:hAnsi="Arial" w:cs="Arial"/>
          <w:noProof/>
        </w:rPr>
        <w:t>d</w:t>
      </w:r>
      <w:r w:rsidRPr="00B64B78">
        <w:rPr>
          <w:rFonts w:ascii="Arial" w:hAnsi="Arial" w:cs="Arial"/>
          <w:noProof/>
        </w:rPr>
        <w:t xml:space="preserve">irected </w:t>
      </w:r>
      <w:r>
        <w:rPr>
          <w:rFonts w:ascii="Arial" w:hAnsi="Arial" w:cs="Arial"/>
          <w:noProof/>
        </w:rPr>
        <w:t>e</w:t>
      </w:r>
      <w:r w:rsidRPr="00B64B78">
        <w:rPr>
          <w:rFonts w:ascii="Arial" w:hAnsi="Arial" w:cs="Arial"/>
          <w:noProof/>
        </w:rPr>
        <w:t xml:space="preserve">volution in </w:t>
      </w:r>
      <w:r>
        <w:rPr>
          <w:rFonts w:ascii="Arial" w:hAnsi="Arial" w:cs="Arial"/>
          <w:noProof/>
        </w:rPr>
        <w:t>d</w:t>
      </w:r>
      <w:r w:rsidRPr="00B64B78">
        <w:rPr>
          <w:rFonts w:ascii="Arial" w:hAnsi="Arial" w:cs="Arial"/>
          <w:noProof/>
        </w:rPr>
        <w:t>rug-</w:t>
      </w:r>
      <w:r>
        <w:rPr>
          <w:rFonts w:ascii="Arial" w:hAnsi="Arial" w:cs="Arial"/>
          <w:noProof/>
        </w:rPr>
        <w:t>s</w:t>
      </w:r>
      <w:r w:rsidRPr="00B64B78">
        <w:rPr>
          <w:rFonts w:ascii="Arial" w:hAnsi="Arial" w:cs="Arial"/>
          <w:noProof/>
        </w:rPr>
        <w:t xml:space="preserve">ensitive </w:t>
      </w:r>
      <w:r>
        <w:rPr>
          <w:rFonts w:ascii="Arial" w:hAnsi="Arial" w:cs="Arial"/>
          <w:noProof/>
        </w:rPr>
        <w:lastRenderedPageBreak/>
        <w:t>y</w:t>
      </w:r>
      <w:r w:rsidRPr="00B64B78">
        <w:rPr>
          <w:rFonts w:ascii="Arial" w:hAnsi="Arial" w:cs="Arial"/>
          <w:noProof/>
        </w:rPr>
        <w:t>east. ACS Chem. Biol. 12: 422–434. https://doi.org/10.1021/acschembio.6b01037</w:t>
      </w:r>
    </w:p>
    <w:p w14:paraId="109E862F"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Thorvaldsdottir H., J. T. Robinson, and J. P. Mesirov, 2013 Integrative Genomics Viewer (IGV): high-performance genomics data visualization and exploration. Brief. Bioinform. 14: 178–192. https://doi.org/10.1093/bib/bbs017</w:t>
      </w:r>
    </w:p>
    <w:p w14:paraId="2C8E7D09" w14:textId="77777777" w:rsidR="00817ABD" w:rsidRPr="00B64B78" w:rsidRDefault="00817ABD" w:rsidP="00817ABD">
      <w:pPr>
        <w:widowControl w:val="0"/>
        <w:autoSpaceDE w:val="0"/>
        <w:autoSpaceDN w:val="0"/>
        <w:adjustRightInd w:val="0"/>
        <w:spacing w:line="480" w:lineRule="auto"/>
        <w:ind w:left="480" w:hanging="480"/>
        <w:rPr>
          <w:rFonts w:ascii="Arial" w:hAnsi="Arial" w:cs="Arial"/>
          <w:noProof/>
        </w:rPr>
      </w:pPr>
      <w:r w:rsidRPr="00B64B78">
        <w:rPr>
          <w:rFonts w:ascii="Arial" w:hAnsi="Arial" w:cs="Arial"/>
          <w:noProof/>
        </w:rPr>
        <w:t>Vaser R., S. Adusumalli, S. N. Leng, M. Sikic, and P. C. Ng, 2016 SIFT missense predictions for genomes. Nat. Protoc. 11: 1–9. https://doi.org/10.1038/nprot.2015.123</w:t>
      </w:r>
    </w:p>
    <w:p w14:paraId="715F9271" w14:textId="77777777" w:rsidR="00817ABD" w:rsidRDefault="00817ABD" w:rsidP="00817ABD">
      <w:pPr>
        <w:spacing w:line="480" w:lineRule="auto"/>
      </w:pPr>
      <w:r w:rsidRPr="00B64B78">
        <w:rPr>
          <w:rFonts w:ascii="Arial" w:hAnsi="Arial" w:cs="Arial"/>
        </w:rPr>
        <w:fldChar w:fldCharType="end"/>
      </w:r>
    </w:p>
    <w:p w14:paraId="52BF782E" w14:textId="1B5D60D9" w:rsidR="006772FE" w:rsidRDefault="006772FE" w:rsidP="00CA7E00">
      <w:pPr>
        <w:spacing w:line="480" w:lineRule="auto"/>
      </w:pPr>
    </w:p>
    <w:sectPr w:rsidR="006772FE" w:rsidSect="00ED6843">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FE"/>
    <w:rsid w:val="00000CCA"/>
    <w:rsid w:val="000015D1"/>
    <w:rsid w:val="00014629"/>
    <w:rsid w:val="0009698F"/>
    <w:rsid w:val="000B1C22"/>
    <w:rsid w:val="0010448B"/>
    <w:rsid w:val="00166C4A"/>
    <w:rsid w:val="00167C60"/>
    <w:rsid w:val="001C7260"/>
    <w:rsid w:val="001F5E03"/>
    <w:rsid w:val="001F5E6B"/>
    <w:rsid w:val="00203774"/>
    <w:rsid w:val="002244B0"/>
    <w:rsid w:val="00246723"/>
    <w:rsid w:val="0028179E"/>
    <w:rsid w:val="002D1BDD"/>
    <w:rsid w:val="00344D53"/>
    <w:rsid w:val="003665C4"/>
    <w:rsid w:val="00393920"/>
    <w:rsid w:val="00424CD0"/>
    <w:rsid w:val="00472F02"/>
    <w:rsid w:val="0049261C"/>
    <w:rsid w:val="004B536B"/>
    <w:rsid w:val="004B62AE"/>
    <w:rsid w:val="004C1725"/>
    <w:rsid w:val="004D17AE"/>
    <w:rsid w:val="004D3CF4"/>
    <w:rsid w:val="004E459C"/>
    <w:rsid w:val="00514659"/>
    <w:rsid w:val="00525558"/>
    <w:rsid w:val="00570E8D"/>
    <w:rsid w:val="005856F6"/>
    <w:rsid w:val="005E2765"/>
    <w:rsid w:val="005F5D2C"/>
    <w:rsid w:val="006772FE"/>
    <w:rsid w:val="006D2CE9"/>
    <w:rsid w:val="006E37CC"/>
    <w:rsid w:val="00774D93"/>
    <w:rsid w:val="00817ABD"/>
    <w:rsid w:val="008317B1"/>
    <w:rsid w:val="008B7318"/>
    <w:rsid w:val="009473C5"/>
    <w:rsid w:val="009E7C20"/>
    <w:rsid w:val="00A35BEC"/>
    <w:rsid w:val="00A70784"/>
    <w:rsid w:val="00AE1944"/>
    <w:rsid w:val="00AE4E58"/>
    <w:rsid w:val="00B35316"/>
    <w:rsid w:val="00B51261"/>
    <w:rsid w:val="00BB7D83"/>
    <w:rsid w:val="00BF3F64"/>
    <w:rsid w:val="00C20639"/>
    <w:rsid w:val="00C33FB3"/>
    <w:rsid w:val="00C4595D"/>
    <w:rsid w:val="00C7381C"/>
    <w:rsid w:val="00C85841"/>
    <w:rsid w:val="00C85C32"/>
    <w:rsid w:val="00C9069F"/>
    <w:rsid w:val="00CA7E00"/>
    <w:rsid w:val="00CE2CCD"/>
    <w:rsid w:val="00CF7356"/>
    <w:rsid w:val="00CF7FF7"/>
    <w:rsid w:val="00E622B0"/>
    <w:rsid w:val="00EA47EF"/>
    <w:rsid w:val="00ED14F6"/>
    <w:rsid w:val="00ED6843"/>
    <w:rsid w:val="00F0588E"/>
    <w:rsid w:val="00F1399D"/>
    <w:rsid w:val="00F6182D"/>
    <w:rsid w:val="00F61B6A"/>
    <w:rsid w:val="00FA26AB"/>
    <w:rsid w:val="00FA76A1"/>
    <w:rsid w:val="00FC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4BED"/>
  <w15:chartTrackingRefBased/>
  <w15:docId w15:val="{06C37109-AAA8-A64C-A8DC-113C64A0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ABD"/>
    <w:pPr>
      <w:spacing w:line="360" w:lineRule="auto"/>
      <w:ind w:firstLine="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2FE"/>
    <w:rPr>
      <w:color w:val="0563C1" w:themeColor="hyperlink"/>
      <w:u w:val="single"/>
    </w:rPr>
  </w:style>
  <w:style w:type="paragraph" w:styleId="BalloonText">
    <w:name w:val="Balloon Text"/>
    <w:basedOn w:val="Normal"/>
    <w:link w:val="BalloonTextChar"/>
    <w:uiPriority w:val="99"/>
    <w:semiHidden/>
    <w:unhideWhenUsed/>
    <w:rsid w:val="00817ABD"/>
    <w:pPr>
      <w:spacing w:line="240" w:lineRule="auto"/>
      <w:ind w:firstLine="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7A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cbi/sra-tools/wiki" TargetMode="External"/><Relationship Id="rId5" Type="http://schemas.openxmlformats.org/officeDocument/2006/relationships/hyperlink" Target="https://www.ncbi.nlm.nih.gov/s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A00C0-0AF6-0A46-9089-AEA1B92F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10565</Words>
  <Characters>60222</Characters>
  <Application>Microsoft Office Word</Application>
  <DocSecurity>0</DocSecurity>
  <Lines>501</Lines>
  <Paragraphs>141</Paragraphs>
  <ScaleCrop>false</ScaleCrop>
  <Company/>
  <LinksUpToDate>false</LinksUpToDate>
  <CharactersWithSpaces>70646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Mitchell</dc:creator>
  <cp:keywords/>
  <dc:description/>
  <cp:lastModifiedBy>Ellison, Mitchell</cp:lastModifiedBy>
  <cp:revision>2</cp:revision>
  <dcterms:created xsi:type="dcterms:W3CDTF">2020-06-19T18:50:00Z</dcterms:created>
  <dcterms:modified xsi:type="dcterms:W3CDTF">2020-06-19T18:50:00Z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http://www.zotero.org/styles/genetics</vt:lpwstr>
  </property>
  <property fmtid="{D5CDD505-2E9C-101B-9397-08002B2CF9AE}" pid="15" name="Mendeley Recent Style Name 6_1">
    <vt:lpwstr>Genetics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dd295ed6-4a6d-3816-9ddc-2d85272e1b0a</vt:lpwstr>
  </property>
  <property fmtid="{D5CDD505-2E9C-101B-9397-08002B2CF9AE}" pid="24" name="Mendeley Citation Style_1">
    <vt:lpwstr>http://www.zotero.org/styles/genetics</vt:lpwstr>
  </property>
</Properties>
</file>