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25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LCWMD</w:t>
      </w:r>
      <w:r>
        <w:t xml:space="preserve"> </w:t>
      </w:r>
      <w:r>
        <w:t xml:space="preserve">Microhabitat</w:t>
      </w:r>
      <w:r>
        <w:t xml:space="preserve"> </w:t>
      </w:r>
      <w:r>
        <w:t xml:space="preserve">Data</w:t>
      </w:r>
      <w:r>
        <w:t xml:space="preserve"> </w:t>
      </w:r>
      <w:r>
        <w:t xml:space="preserve">Review</w:t>
      </w:r>
    </w:p>
    <w:p>
      <w:pPr>
        <w:pStyle w:val="Author"/>
      </w:pPr>
      <w:r>
        <w:t xml:space="preserve">Curtis</w:t>
      </w:r>
      <w:r>
        <w:t xml:space="preserve"> </w:t>
      </w:r>
      <w:r>
        <w:t xml:space="preserve">C.</w:t>
      </w:r>
      <w:r>
        <w:t xml:space="preserve"> </w:t>
      </w:r>
      <w:r>
        <w:t xml:space="preserve">Bohlen</w:t>
      </w:r>
    </w:p>
    <w:p>
      <w:pPr>
        <w:pStyle w:val="Date"/>
      </w:pPr>
      <w:r>
        <w:t xml:space="preserve">2/3/2021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A few years ago, LCWMD undertook an effort to improve habitat quality along a</w:t>
      </w:r>
      <w:r>
        <w:t xml:space="preserve"> </w:t>
      </w:r>
      <w:r>
        <w:t xml:space="preserve">portion of Long Creek. Years of adjacent development activity had restricted</w:t>
      </w:r>
      <w:r>
        <w:t xml:space="preserve"> </w:t>
      </w:r>
      <w:r>
        <w:t xml:space="preserve">the floodplain, eroded the stream channel, and removed woody debris and other</w:t>
      </w:r>
      <w:r>
        <w:t xml:space="preserve"> </w:t>
      </w:r>
      <w:r>
        <w:t xml:space="preserve">roughness elements from the channel. In what became perhaps the most ambitious</w:t>
      </w:r>
      <w:r>
        <w:t xml:space="preserve"> </w:t>
      </w:r>
      <w:r>
        <w:t xml:space="preserve">urban stream restoration in Maine history, LCWMD removed fill from the</w:t>
      </w:r>
      <w:r>
        <w:t xml:space="preserve"> </w:t>
      </w:r>
      <w:r>
        <w:t xml:space="preserve">floodplain, installed log jams and other structures in the stream, added gravel</w:t>
      </w:r>
      <w:r>
        <w:t xml:space="preserve"> </w:t>
      </w:r>
      <w:r>
        <w:t xml:space="preserve">and cobbles to the stream, and emplaced downed trees, rootwads, and wood in the</w:t>
      </w:r>
      <w:r>
        <w:t xml:space="preserve"> </w:t>
      </w:r>
      <w:r>
        <w:t xml:space="preserve">floodplain.</w:t>
      </w:r>
    </w:p>
    <w:p>
      <w:pPr>
        <w:pStyle w:val="BodyText"/>
      </w:pPr>
      <w:r>
        <w:t xml:space="preserve">GZA Geoenvironmental Incorporated (GZA) has been monitoring the effects of</w:t>
      </w:r>
      <w:r>
        <w:t xml:space="preserve"> </w:t>
      </w:r>
      <w:r>
        <w:t xml:space="preserve">the restoration on stream habitat and the biota. As a portion of their</w:t>
      </w:r>
      <w:r>
        <w:t xml:space="preserve"> </w:t>
      </w:r>
      <w:r>
        <w:t xml:space="preserve">monitoring, they conducted a study of relative abundance of different</w:t>
      </w:r>
      <w:r>
        <w:t xml:space="preserve"> </w:t>
      </w:r>
      <w:r>
        <w:t xml:space="preserve">microhabitats and substrate types in the restored stream reach and in a</w:t>
      </w:r>
      <w:r>
        <w:t xml:space="preserve"> </w:t>
      </w:r>
      <w:r>
        <w:t xml:space="preserve">“</w:t>
      </w:r>
      <w:r>
        <w:t xml:space="preserve">reference reach</w:t>
      </w:r>
      <w:r>
        <w:t xml:space="preserve">”</w:t>
      </w:r>
      <w:r>
        <w:t xml:space="preserve"> </w:t>
      </w:r>
      <w:r>
        <w:t xml:space="preserve">a short way upstream. The study looked at visual estimates</w:t>
      </w:r>
      <w:r>
        <w:t xml:space="preserve"> </w:t>
      </w:r>
      <w:r>
        <w:t xml:space="preserve">of percent cover of each of fifteen microhabitats and substrate types in 63</w:t>
      </w:r>
      <w:r>
        <w:t xml:space="preserve"> </w:t>
      </w:r>
      <w:r>
        <w:t xml:space="preserve">quadrats (3 replicates at each of 21 random locations) in each stream reach.</w:t>
      </w:r>
    </w:p>
    <w:p>
      <w:pPr>
        <w:pStyle w:val="BodyText"/>
      </w:pPr>
      <w:r>
        <w:t xml:space="preserve">In this report, I present results of reanalysis of the GZA data, along with some</w:t>
      </w:r>
      <w:r>
        <w:t xml:space="preserve"> </w:t>
      </w:r>
      <w:r>
        <w:t xml:space="preserve">commentary. For simplicity’s sake, I ignore the hierarchical structure</w:t>
      </w:r>
      <w:r>
        <w:t xml:space="preserve"> </w:t>
      </w:r>
      <w:r>
        <w:t xml:space="preserve">(quadrats within locations) imposed by the sampling design. A comprehensive</w:t>
      </w:r>
      <w:r>
        <w:t xml:space="preserve"> </w:t>
      </w:r>
      <w:r>
        <w:t xml:space="preserve">analysis should address that structure. Such clustering of samples would be</w:t>
      </w:r>
      <w:r>
        <w:t xml:space="preserve"> </w:t>
      </w:r>
      <w:r>
        <w:t xml:space="preserve">expected to increase uncertainty in overall estimates of microhabitat abundance.</w:t>
      </w:r>
      <w:r>
        <w:t xml:space="preserve"> </w:t>
      </w:r>
      <w:r>
        <w:t xml:space="preserve">Results of this somewhat simplified analysis should be evaluated with that in</w:t>
      </w:r>
      <w:r>
        <w:t xml:space="preserve"> </w:t>
      </w:r>
      <w:r>
        <w:t xml:space="preserve">mind.</w:t>
      </w:r>
    </w:p>
    <w:p>
      <w:pPr>
        <w:pStyle w:val="BodyText"/>
      </w:pPr>
      <w:r>
        <w:t xml:space="preserve">The report is generated by an R Markdown document. All figures and results are</w:t>
      </w:r>
      <w:r>
        <w:t xml:space="preserve"> </w:t>
      </w:r>
      <w:r>
        <w:t xml:space="preserve">calculated live from the data based on code in R Markdown. I have hidden the</w:t>
      </w:r>
      <w:r>
        <w:t xml:space="preserve"> </w:t>
      </w:r>
      <w:r>
        <w:t xml:space="preserve">code that generated the analysis to keep the focus on the meaning and ideas,</w:t>
      </w:r>
      <w:r>
        <w:t xml:space="preserve"> </w:t>
      </w:r>
      <w:r>
        <w:t xml:space="preserve">rather than implementation details.</w:t>
      </w:r>
    </w:p>
    <w:p>
      <w:pPr>
        <w:pStyle w:val="BodyText"/>
      </w:pPr>
      <w:r>
        <w:t xml:space="preserve">You can download the original Markdown document that contains the R code from</w:t>
      </w:r>
      <w:r>
        <w:t xml:space="preserve"> </w:t>
      </w:r>
      <w:r>
        <w:t xml:space="preserve">GitHub at:</w:t>
      </w:r>
    </w:p>
    <w:p>
      <w:pPr>
        <w:pStyle w:val="BodyText"/>
      </w:pPr>
      <w:r>
        <w:t xml:space="preserve">(</w:t>
      </w:r>
      <w:hyperlink r:id="rId20">
        <w:r>
          <w:rPr>
            <w:rStyle w:val="Hyperlink"/>
          </w:rPr>
          <w:t xml:space="preserve">https://github.com/ccb60/LCWMD_2020_microhabitat.git</w:t>
        </w:r>
      </w:hyperlink>
      <w:r>
        <w:t xml:space="preserve">)</w:t>
      </w:r>
    </w:p>
    <w:bookmarkStart w:id="21" w:name="goals"/>
    <w:p>
      <w:pPr>
        <w:pStyle w:val="Heading2"/>
      </w:pPr>
      <w:r>
        <w:t xml:space="preserve">Goals</w:t>
      </w:r>
    </w:p>
    <w:p>
      <w:pPr>
        <w:pStyle w:val="FirstParagraph"/>
      </w:pPr>
      <w:r>
        <w:t xml:space="preserve">The goal of the following analysis is to estimate the relative area of each</w:t>
      </w:r>
      <w:r>
        <w:t xml:space="preserve"> </w:t>
      </w:r>
      <w:r>
        <w:t xml:space="preserve">microhabitat in each stream reach, and determine if the relative abundances are</w:t>
      </w:r>
      <w:r>
        <w:t xml:space="preserve"> </w:t>
      </w:r>
      <w:r>
        <w:t xml:space="preserve">similar or different between the restoration reach and the reference reach.</w:t>
      </w:r>
    </w:p>
    <w:bookmarkEnd w:id="21"/>
    <w:bookmarkStart w:id="22" w:name="primary-analysis-approach"/>
    <w:p>
      <w:pPr>
        <w:pStyle w:val="Heading2"/>
      </w:pPr>
      <w:r>
        <w:t xml:space="preserve">Primary Analysis Approach</w:t>
      </w:r>
    </w:p>
    <w:p>
      <w:pPr>
        <w:pStyle w:val="FirstParagraph"/>
      </w:pPr>
      <w:r>
        <w:t xml:space="preserve">The best estimate of the relative area of each microhabitat can be obtained by</w:t>
      </w:r>
      <w:r>
        <w:t xml:space="preserve"> </w:t>
      </w:r>
      <w:r>
        <w:t xml:space="preserve">be adding up the area of each microhabitat observed in each quadrat,</w:t>
      </w:r>
      <w:r>
        <w:t xml:space="preserve"> </w:t>
      </w:r>
      <w:r>
        <w:t xml:space="preserve">and dividing by the total area of all of the quadrats. That weighted sum</w:t>
      </w:r>
      <w:r>
        <w:t xml:space="preserve"> </w:t>
      </w:r>
      <w:r>
        <w:t xml:space="preserve">gives an estimate of the relative percent cover of each microhabitat in the</w:t>
      </w:r>
      <w:r>
        <w:t xml:space="preserve"> </w:t>
      </w:r>
      <w:r>
        <w:t xml:space="preserve">stream reach.</w:t>
      </w:r>
    </w:p>
    <w:p>
      <w:pPr>
        <w:pStyle w:val="BodyText"/>
      </w:pPr>
      <w:r>
        <w:t xml:space="preserve">But that weighted sum is just the arithmetic mean of the observed percent cover</w:t>
      </w:r>
      <w:r>
        <w:t xml:space="preserve"> </w:t>
      </w:r>
      <w:r>
        <w:t xml:space="preserve">in all 63 quadrats (including zeros, where a particular microhabitat was not</w:t>
      </w:r>
      <w:r>
        <w:t xml:space="preserve"> </w:t>
      </w:r>
      <w:r>
        <w:t xml:space="preserve">observed in a quadrat).</w:t>
      </w:r>
    </w:p>
    <w:p>
      <w:pPr>
        <w:pStyle w:val="BodyText"/>
      </w:pPr>
      <w:r>
        <w:t xml:space="preserve">Although we often mistrust the mean when dealing with skewed data, in this case,</w:t>
      </w:r>
      <w:r>
        <w:t xml:space="preserve"> </w:t>
      </w:r>
      <w:r>
        <w:t xml:space="preserve">the mean is the correct summary statistic for our purposes, so we need to work</w:t>
      </w:r>
      <w:r>
        <w:t xml:space="preserve"> </w:t>
      </w:r>
      <w:r>
        <w:t xml:space="preserve">with it, rather than a median or other more resistant estimate of location.</w:t>
      </w:r>
    </w:p>
    <w:bookmarkEnd w:id="22"/>
    <w:bookmarkEnd w:id="23"/>
    <w:bookmarkStart w:id="27" w:name="calculate-estimated-percent-covers"/>
    <w:p>
      <w:pPr>
        <w:pStyle w:val="Heading1"/>
      </w:pPr>
      <w:r>
        <w:t xml:space="preserve">Calculate Estimated Percent Covers</w:t>
      </w:r>
    </w:p>
    <w:p>
      <w:pPr>
        <w:pStyle w:val="FirstParagraph"/>
      </w:pPr>
      <w:r>
        <w:t xml:space="preserve">We start by calculating by stream reach the number of plots in which each</w:t>
      </w:r>
      <w:r>
        <w:t xml:space="preserve"> </w:t>
      </w:r>
      <w:r>
        <w:t xml:space="preserve">microhabitat was observed, and the estimated percent cover of each microhabitat.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Microhabitat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n_Restoration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Cover_Reference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Cover_Restoration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Muck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5.87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Clay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3.33</w:t>
            </w:r>
          </w:p>
        </w:tc>
        <w:tc>
          <w:p>
            <w:pPr>
              <w:pStyle w:val="Compact"/>
              <w:jc w:val="right"/>
            </w:pPr>
            <w:r>
              <w:t xml:space="preserve">2.22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ClayPieces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HardClayBottom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2.94</w:t>
            </w:r>
          </w:p>
        </w:tc>
        <w:tc>
          <w:p>
            <w:pPr>
              <w:pStyle w:val="Compact"/>
              <w:jc w:val="right"/>
            </w:pPr>
            <w:r>
              <w:t xml:space="preserve">5.40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Silt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28.57</w:t>
            </w:r>
          </w:p>
        </w:tc>
        <w:tc>
          <w:p>
            <w:pPr>
              <w:pStyle w:val="Compact"/>
              <w:jc w:val="right"/>
            </w:pPr>
            <w:r>
              <w:t xml:space="preserve">10.79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Sand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26.51</w:t>
            </w:r>
          </w:p>
        </w:tc>
        <w:tc>
          <w:p>
            <w:pPr>
              <w:pStyle w:val="Compact"/>
              <w:jc w:val="right"/>
            </w:pPr>
            <w:r>
              <w:t xml:space="preserve">17.25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Gravel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2.30</w:t>
            </w:r>
          </w:p>
        </w:tc>
        <w:tc>
          <w:p>
            <w:pPr>
              <w:pStyle w:val="Compact"/>
              <w:jc w:val="right"/>
            </w:pPr>
            <w:r>
              <w:t xml:space="preserve">12.38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Cobble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16.06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Boulder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p>
            <w:pPr>
              <w:pStyle w:val="Compact"/>
              <w:jc w:val="right"/>
            </w:pPr>
            <w:r>
              <w:t xml:space="preserve">2.78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Bedrock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2.86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Aquatic_Bed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2.54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Leaf_Litter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21.67</w:t>
            </w:r>
          </w:p>
        </w:tc>
        <w:tc>
          <w:p>
            <w:pPr>
              <w:pStyle w:val="Compact"/>
              <w:jc w:val="right"/>
            </w:pPr>
            <w:r>
              <w:t xml:space="preserve">17.67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Wood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6.03</w:t>
            </w:r>
          </w:p>
        </w:tc>
        <w:tc>
          <w:p>
            <w:pPr>
              <w:pStyle w:val="Compact"/>
              <w:jc w:val="right"/>
            </w:pPr>
            <w:r>
              <w:t xml:space="preserve">5.37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Fill_Garbage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1.59</w:t>
            </w:r>
          </w:p>
        </w:tc>
      </w:tr>
    </w:tbl>
    <w:bookmarkStart w:id="24" w:name="a-quick-check"/>
    <w:p>
      <w:pPr>
        <w:pStyle w:val="Heading2"/>
      </w:pPr>
      <w:r>
        <w:t xml:space="preserve">A Quick Check</w:t>
      </w:r>
    </w:p>
    <w:p>
      <w:pPr>
        <w:pStyle w:val="FirstParagraph"/>
      </w:pPr>
      <w:r>
        <w:t xml:space="preserve">We check to see whether the total percent cover in each reach is close to 100%.</w:t>
      </w:r>
      <w:r>
        <w:t xml:space="preserve"> </w:t>
      </w:r>
      <w:r>
        <w:t xml:space="preserve">If our math is right, each total should be 100% (within rounding error).</w:t>
      </w:r>
    </w:p>
    <w:p>
      <w:pPr>
        <w:pStyle w:val="SourceCode"/>
      </w:pPr>
      <w:r>
        <w:rPr>
          <w:rStyle w:val="VerbatimChar"/>
        </w:rPr>
        <w:t xml:space="preserve">#&gt;   Reference Restoration </w:t>
      </w:r>
      <w:r>
        <w:br/>
      </w:r>
      <w:r>
        <w:rPr>
          <w:rStyle w:val="VerbatimChar"/>
        </w:rPr>
        <w:t xml:space="preserve">#&gt;         100         100</w:t>
      </w:r>
    </w:p>
    <w:bookmarkEnd w:id="24"/>
    <w:bookmarkStart w:id="26" w:name="plot-results"/>
    <w:p>
      <w:pPr>
        <w:pStyle w:val="Heading2"/>
      </w:pPr>
      <w:r>
        <w:t xml:space="preserve">Plot Results</w:t>
      </w:r>
    </w:p>
    <w:p>
      <w:pPr>
        <w:pStyle w:val="FirstParagraph"/>
      </w:pPr>
      <w:r>
        <w:t xml:space="preserve">It’s easier to digest the results from a graphic, rather than a table.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crohabitat-Analysis-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Visually, what jumps out are:</w:t>
      </w:r>
    </w:p>
    <w:p>
      <w:pPr>
        <w:numPr>
          <w:ilvl w:val="0"/>
          <w:numId w:val="1001"/>
        </w:numPr>
      </w:pPr>
      <w:r>
        <w:t xml:space="preserve">High levels of Muck, Gravel, and Cobble in the Restoration Reach</w:t>
      </w:r>
    </w:p>
    <w:p>
      <w:pPr>
        <w:numPr>
          <w:ilvl w:val="0"/>
          <w:numId w:val="1001"/>
        </w:numPr>
      </w:pPr>
      <w:r>
        <w:t xml:space="preserve">High levels of Silt and Sand in the Reference Reach.</w:t>
      </w:r>
    </w:p>
    <w:bookmarkEnd w:id="26"/>
    <w:bookmarkEnd w:id="27"/>
    <w:bookmarkStart w:id="33" w:name="testing-for-significance"/>
    <w:p>
      <w:pPr>
        <w:pStyle w:val="Heading1"/>
      </w:pPr>
      <w:r>
        <w:t xml:space="preserve">Testing for</w:t>
      </w:r>
      <w:r>
        <w:t xml:space="preserve"> </w:t>
      </w:r>
      <w:r>
        <w:t xml:space="preserve">“</w:t>
      </w:r>
      <w:r>
        <w:t xml:space="preserve">Significance</w:t>
      </w:r>
      <w:r>
        <w:t xml:space="preserve">”</w:t>
      </w:r>
    </w:p>
    <w:p>
      <w:pPr>
        <w:pStyle w:val="FirstParagraph"/>
      </w:pPr>
      <w:r>
        <w:t xml:space="preserve">How can we be sure those apparent</w:t>
      </w:r>
      <w:r>
        <w:t xml:space="preserve"> </w:t>
      </w:r>
      <w:r>
        <w:t xml:space="preserve">“</w:t>
      </w:r>
      <w:r>
        <w:t xml:space="preserve">differences</w:t>
      </w:r>
      <w:r>
        <w:t xml:space="preserve">”</w:t>
      </w:r>
      <w:r>
        <w:t xml:space="preserve"> </w:t>
      </w:r>
      <w:r>
        <w:t xml:space="preserve">are meaningful, and equally</w:t>
      </w:r>
      <w:r>
        <w:t xml:space="preserve"> </w:t>
      </w:r>
      <w:r>
        <w:t xml:space="preserve">important, that less visually less impressive differences are NOT meaningful?</w:t>
      </w:r>
    </w:p>
    <w:bookmarkStart w:id="28" w:name="can-we-use-t-tests"/>
    <w:p>
      <w:pPr>
        <w:pStyle w:val="Heading2"/>
      </w:pPr>
      <w:r>
        <w:t xml:space="preserve">Can We Use t Tests?</w:t>
      </w:r>
    </w:p>
    <w:p>
      <w:pPr>
        <w:pStyle w:val="FirstParagraph"/>
      </w:pPr>
      <w:r>
        <w:t xml:space="preserve">We just calculated Percent Cover of each Microhabitat in each reach as the</w:t>
      </w:r>
      <w:r>
        <w:t xml:space="preserve"> </w:t>
      </w:r>
      <w:r>
        <w:t xml:space="preserve">average of 63 observations from each stream reach. Comparing two means is</w:t>
      </w:r>
      <w:r>
        <w:t xml:space="preserve"> </w:t>
      </w:r>
      <w:r>
        <w:t xml:space="preserve">what t tests are for.</w:t>
      </w:r>
    </w:p>
    <w:p>
      <w:pPr>
        <w:pStyle w:val="BodyText"/>
      </w:pPr>
      <w:r>
        <w:t xml:space="preserve">Unfortunately, t tests are not ideal for several reasons. Most importantly, the</w:t>
      </w:r>
      <w:r>
        <w:t xml:space="preserve"> </w:t>
      </w:r>
      <w:r>
        <w:t xml:space="preserve">observed data are far from normally distributed, and the sample size is only</w:t>
      </w:r>
      <w:r>
        <w:t xml:space="preserve"> </w:t>
      </w:r>
      <w:r>
        <w:t xml:space="preserve">moderate. The t statistic is based on asymptotic behavior of a sum or mean drawn</w:t>
      </w:r>
      <w:r>
        <w:t xml:space="preserve"> </w:t>
      </w:r>
      <w:r>
        <w:t xml:space="preserve">from a population with an unknown standard deviation, which therefore must be</w:t>
      </w:r>
      <w:r>
        <w:t xml:space="preserve"> </w:t>
      </w:r>
      <w:r>
        <w:t xml:space="preserve">estimated from the data. Convergence on the (symmetrical) t distribution is slow</w:t>
      </w:r>
      <w:r>
        <w:t xml:space="preserve"> </w:t>
      </w:r>
      <w:r>
        <w:t xml:space="preserve">when you start with a highly skewed distribution (as here).</w:t>
      </w:r>
    </w:p>
    <w:p>
      <w:pPr>
        <w:pStyle w:val="BodyText"/>
      </w:pPr>
      <w:r>
        <w:t xml:space="preserve">Another, more subtle point is that the different microhabitat types are not</w:t>
      </w:r>
      <w:r>
        <w:t xml:space="preserve"> </w:t>
      </w:r>
      <w:r>
        <w:t xml:space="preserve">independent, since they must add up to 100% of the habitat. Comparing each</w:t>
      </w:r>
      <w:r>
        <w:t xml:space="preserve"> </w:t>
      </w:r>
      <w:r>
        <w:t xml:space="preserve">microhabitat separately is likely to overstate statistical significance</w:t>
      </w:r>
      <w:r>
        <w:t xml:space="preserve"> </w:t>
      </w:r>
      <w:r>
        <w:t xml:space="preserve">(although by only a small bit here).</w:t>
      </w:r>
    </w:p>
    <w:p>
      <w:pPr>
        <w:pStyle w:val="BodyText"/>
      </w:pPr>
      <w:r>
        <w:t xml:space="preserve">What that all means is a t test may give relatively poor control of Type 1</w:t>
      </w:r>
      <w:r>
        <w:t xml:space="preserve"> </w:t>
      </w:r>
      <w:r>
        <w:t xml:space="preserve">error. The nominal</w:t>
      </w:r>
      <w:r>
        <w:t xml:space="preserve"> </w:t>
      </w:r>
      <w:r>
        <w:t xml:space="preserve">“</w:t>
      </w:r>
      <w:r>
        <w:t xml:space="preserve">P value</w:t>
      </w:r>
      <w:r>
        <w:t xml:space="preserve">”</w:t>
      </w:r>
      <w:r>
        <w:t xml:space="preserve"> </w:t>
      </w:r>
      <w:r>
        <w:t xml:space="preserve">may not be especially trustworthy. Because of the</w:t>
      </w:r>
      <w:r>
        <w:t xml:space="preserve"> </w:t>
      </w:r>
      <w:r>
        <w:t xml:space="preserve">central limit theorem (sums of random variables converge to a normal</w:t>
      </w:r>
      <w:r>
        <w:t xml:space="preserve"> </w:t>
      </w:r>
      <w:r>
        <w:t xml:space="preserve">distribution), the larger the sample size, the less the distribution of the</w:t>
      </w:r>
      <w:r>
        <w:t xml:space="preserve"> </w:t>
      </w:r>
      <w:r>
        <w:t xml:space="preserve">underlying data matters. Since our sample sizes are fairly large (n = 63),</w:t>
      </w:r>
      <w:r>
        <w:t xml:space="preserve"> </w:t>
      </w:r>
      <w:r>
        <w:t xml:space="preserve">things may work out. If we don’t take the nominal p value too seriously, we may</w:t>
      </w:r>
      <w:r>
        <w:t xml:space="preserve"> </w:t>
      </w:r>
      <w:r>
        <w:t xml:space="preserve">be O.K.</w:t>
      </w:r>
    </w:p>
    <w:bookmarkEnd w:id="28"/>
    <w:bookmarkStart w:id="29" w:name="try-a-t-test-anyway"/>
    <w:p>
      <w:pPr>
        <w:pStyle w:val="Heading2"/>
      </w:pPr>
      <w:r>
        <w:t xml:space="preserve">Try a t Test Anyway</w:t>
      </w:r>
    </w:p>
    <w:p>
      <w:pPr>
        <w:pStyle w:val="FirstParagraph"/>
      </w:pPr>
      <w:r>
        <w:t xml:space="preserve">Despite my reservations, I went ahead and calculated nominal p values from a</w:t>
      </w:r>
      <w:r>
        <w:t xml:space="preserve"> </w:t>
      </w:r>
      <w:r>
        <w:t xml:space="preserve">standard t test for comparing two samples with unequal variances (Welch’s t</w:t>
      </w:r>
      <w:r>
        <w:t xml:space="preserve"> </w:t>
      </w:r>
      <w:r>
        <w:t xml:space="preserve">test). I used two tailed t tests because I am interested in checking if</w:t>
      </w:r>
      <w:r>
        <w:t xml:space="preserve"> </w:t>
      </w:r>
      <w:r>
        <w:t xml:space="preserve">there are any differences between the two samples. I don’t care which is larger</w:t>
      </w:r>
      <w:r>
        <w:t xml:space="preserve"> </w:t>
      </w:r>
      <w:r>
        <w:t xml:space="preserve">and which is smaller.</w:t>
      </w:r>
    </w:p>
    <w:p>
      <w:pPr>
        <w:pStyle w:val="SourceCode"/>
      </w:pPr>
      <w:r>
        <w:rPr>
          <w:rStyle w:val="VerbatimChar"/>
        </w:rPr>
        <w:t xml:space="preserve">#&gt;                difference p.value</w:t>
      </w:r>
      <w:r>
        <w:br/>
      </w:r>
      <w:r>
        <w:rPr>
          <w:rStyle w:val="VerbatimChar"/>
        </w:rPr>
        <w:t xml:space="preserve">#&gt; Muck                -5.24  0.0004</w:t>
      </w:r>
      <w:r>
        <w:br/>
      </w:r>
      <w:r>
        <w:rPr>
          <w:rStyle w:val="VerbatimChar"/>
        </w:rPr>
        <w:t xml:space="preserve">#&gt; Clay                 1.11  0.6096</w:t>
      </w:r>
      <w:r>
        <w:br/>
      </w:r>
      <w:r>
        <w:rPr>
          <w:rStyle w:val="VerbatimChar"/>
        </w:rPr>
        <w:t xml:space="preserve">#&gt; ClayPieces           1.51  0.3212</w:t>
      </w:r>
      <w:r>
        <w:br/>
      </w:r>
      <w:r>
        <w:rPr>
          <w:rStyle w:val="VerbatimChar"/>
        </w:rPr>
        <w:t xml:space="preserve">#&gt; HardClayBottom      -2.46  0.4224</w:t>
      </w:r>
      <w:r>
        <w:br/>
      </w:r>
      <w:r>
        <w:rPr>
          <w:rStyle w:val="VerbatimChar"/>
        </w:rPr>
        <w:t xml:space="preserve">#&gt; Silt                17.78  0.0003</w:t>
      </w:r>
      <w:r>
        <w:br/>
      </w:r>
      <w:r>
        <w:rPr>
          <w:rStyle w:val="VerbatimChar"/>
        </w:rPr>
        <w:t xml:space="preserve">#&gt; Sand                 9.25  0.0577</w:t>
      </w:r>
      <w:r>
        <w:br/>
      </w:r>
      <w:r>
        <w:rPr>
          <w:rStyle w:val="VerbatimChar"/>
        </w:rPr>
        <w:t xml:space="preserve">#&gt; Gravel             -10.08  0.0048</w:t>
      </w:r>
      <w:r>
        <w:br/>
      </w:r>
      <w:r>
        <w:rPr>
          <w:rStyle w:val="VerbatimChar"/>
        </w:rPr>
        <w:t xml:space="preserve">#&gt; Cobble             -15.11  0.0001</w:t>
      </w:r>
      <w:r>
        <w:br/>
      </w:r>
      <w:r>
        <w:rPr>
          <w:rStyle w:val="VerbatimChar"/>
        </w:rPr>
        <w:t xml:space="preserve">#&gt; Boulder             -0.71  0.7198</w:t>
      </w:r>
      <w:r>
        <w:br/>
      </w:r>
      <w:r>
        <w:rPr>
          <w:rStyle w:val="VerbatimChar"/>
        </w:rPr>
        <w:t xml:space="preserve">#&gt; Bedrock              2.86  0.1590</w:t>
      </w:r>
      <w:r>
        <w:br/>
      </w:r>
      <w:r>
        <w:rPr>
          <w:rStyle w:val="VerbatimChar"/>
        </w:rPr>
        <w:t xml:space="preserve">#&gt; Aquatic_Bed         -1.98  0.0285</w:t>
      </w:r>
      <w:r>
        <w:br/>
      </w:r>
      <w:r>
        <w:rPr>
          <w:rStyle w:val="VerbatimChar"/>
        </w:rPr>
        <w:t xml:space="preserve">#&gt; Fern                -0.08  0.3212</w:t>
      </w:r>
      <w:r>
        <w:br/>
      </w:r>
      <w:r>
        <w:rPr>
          <w:rStyle w:val="VerbatimChar"/>
        </w:rPr>
        <w:t xml:space="preserve">#&gt; Leaf_Litter          4.00  0.3362</w:t>
      </w:r>
      <w:r>
        <w:br/>
      </w:r>
      <w:r>
        <w:rPr>
          <w:rStyle w:val="VerbatimChar"/>
        </w:rPr>
        <w:t xml:space="preserve">#&gt; Wood                 0.67  0.6188</w:t>
      </w:r>
      <w:r>
        <w:br/>
      </w:r>
      <w:r>
        <w:rPr>
          <w:rStyle w:val="VerbatimChar"/>
        </w:rPr>
        <w:t xml:space="preserve">#&gt; Fill_Garbage        -1.51  0.0398</w:t>
      </w:r>
    </w:p>
    <w:bookmarkEnd w:id="29"/>
    <w:bookmarkStart w:id="30" w:name="resampling-an-alternative-to-the-t-test"/>
    <w:p>
      <w:pPr>
        <w:pStyle w:val="Heading2"/>
      </w:pPr>
      <w:r>
        <w:t xml:space="preserve">Resampling: An Alternative to the t Test</w:t>
      </w:r>
    </w:p>
    <w:p>
      <w:pPr>
        <w:pStyle w:val="FirstParagraph"/>
      </w:pPr>
      <w:r>
        <w:t xml:space="preserve">The most straight forward approach to comparing two means from</w:t>
      </w:r>
      <w:r>
        <w:t xml:space="preserve"> </w:t>
      </w:r>
      <w:r>
        <w:t xml:space="preserve">“</w:t>
      </w:r>
      <w:r>
        <w:t xml:space="preserve">badly behaved</w:t>
      </w:r>
      <w:r>
        <w:t xml:space="preserve">”</w:t>
      </w:r>
      <w:r>
        <w:t xml:space="preserve"> </w:t>
      </w:r>
      <w:r>
        <w:t xml:space="preserve">distributions is probably to use a resampling test. This addresses the skewed</w:t>
      </w:r>
      <w:r>
        <w:t xml:space="preserve"> </w:t>
      </w:r>
      <w:r>
        <w:t xml:space="preserve">nature of the data, but does not address the fact that the cover of all</w:t>
      </w:r>
      <w:r>
        <w:t xml:space="preserve"> </w:t>
      </w:r>
      <w:r>
        <w:t xml:space="preserve">microhabitats us sum to 100%.</w:t>
      </w:r>
    </w:p>
    <w:p>
      <w:pPr>
        <w:pStyle w:val="BodyText"/>
      </w:pPr>
      <w:r>
        <w:t xml:space="preserve">Under the null hypothesis of no difference in microhabitat distribution, the</w:t>
      </w:r>
      <w:r>
        <w:t xml:space="preserve"> </w:t>
      </w:r>
      <w:r>
        <w:t xml:space="preserve">distribution of possible observations of percent cover from the two reaches</w:t>
      </w:r>
      <w:r>
        <w:t xml:space="preserve"> </w:t>
      </w:r>
      <w:r>
        <w:t xml:space="preserve">should be the same. We can readily simulate a draw from two data distributions</w:t>
      </w:r>
      <w:r>
        <w:t xml:space="preserve"> </w:t>
      </w:r>
      <w:r>
        <w:t xml:space="preserve">that matches that description, without relying on any assumptions about the</w:t>
      </w:r>
      <w:r>
        <w:t xml:space="preserve"> </w:t>
      </w:r>
      <w:r>
        <w:t xml:space="preserve">nature of the underlying distribution by sampling repeatedly from the actual</w:t>
      </w:r>
      <w:r>
        <w:t xml:space="preserve"> </w:t>
      </w:r>
      <w:r>
        <w:t xml:space="preserve">observations.</w:t>
      </w:r>
    </w:p>
    <w:p>
      <w:pPr>
        <w:pStyle w:val="BodyText"/>
      </w:pPr>
      <w:r>
        <w:t xml:space="preserve">For each microhabitat, we can draw two samples of 63 from all the observations</w:t>
      </w:r>
      <w:r>
        <w:t xml:space="preserve"> </w:t>
      </w:r>
      <w:r>
        <w:t xml:space="preserve">of that microhabitat (including the zeros) from both stream reaches. That random</w:t>
      </w:r>
      <w:r>
        <w:t xml:space="preserve"> </w:t>
      </w:r>
      <w:r>
        <w:t xml:space="preserve">sample is an (estimated) example of what we might expect to observe under the</w:t>
      </w:r>
      <w:r>
        <w:t xml:space="preserve"> </w:t>
      </w:r>
      <w:r>
        <w:t xml:space="preserve">null hypothesis. We can then then calculate the difference between these two</w:t>
      </w:r>
      <w:r>
        <w:t xml:space="preserve"> </w:t>
      </w:r>
      <w:r>
        <w:t xml:space="preserve">“</w:t>
      </w:r>
      <w:r>
        <w:t xml:space="preserve">random</w:t>
      </w:r>
      <w:r>
        <w:t xml:space="preserve">”</w:t>
      </w:r>
      <w:r>
        <w:t xml:space="preserve"> </w:t>
      </w:r>
      <w:r>
        <w:t xml:space="preserve">samples. Since the two samples were drawn from the same data, they</w:t>
      </w:r>
      <w:r>
        <w:t xml:space="preserve"> </w:t>
      </w:r>
      <w:r>
        <w:t xml:space="preserve">will usually be similar, but sometimes the samples will be quite different</w:t>
      </w:r>
    </w:p>
    <w:p>
      <w:pPr>
        <w:pStyle w:val="BodyText"/>
      </w:pPr>
      <w:r>
        <w:t xml:space="preserve">We do that many times, and count up how many times we see differences between</w:t>
      </w:r>
      <w:r>
        <w:t xml:space="preserve"> </w:t>
      </w:r>
      <w:r>
        <w:t xml:space="preserve">the two simulated samples that are as large as the difference we observed in the</w:t>
      </w:r>
      <w:r>
        <w:t xml:space="preserve"> </w:t>
      </w:r>
      <w:r>
        <w:t xml:space="preserve">field. The frequency of extreme observations provides an estimate of the</w:t>
      </w:r>
      <w:r>
        <w:t xml:space="preserve"> </w:t>
      </w:r>
      <w:r>
        <w:t xml:space="preserve">“</w:t>
      </w:r>
      <w:r>
        <w:t xml:space="preserve">p</w:t>
      </w:r>
      <w:r>
        <w:t xml:space="preserve"> </w:t>
      </w:r>
      <w:r>
        <w:t xml:space="preserve">value</w:t>
      </w:r>
      <w:r>
        <w:t xml:space="preserve">”</w:t>
      </w:r>
      <w:r>
        <w:t xml:space="preserve"> </w:t>
      </w:r>
      <w:r>
        <w:t xml:space="preserve">of the observed difference between the two stream reaches based on a</w:t>
      </w:r>
      <w:r>
        <w:t xml:space="preserve"> </w:t>
      </w:r>
      <w:r>
        <w:t xml:space="preserve">resampling or</w:t>
      </w:r>
      <w:r>
        <w:t xml:space="preserve"> </w:t>
      </w:r>
      <w:r>
        <w:t xml:space="preserve">“</w:t>
      </w:r>
      <w:r>
        <w:t xml:space="preserve">bootstrap</w:t>
      </w:r>
      <w:r>
        <w:t xml:space="preserve">”</w:t>
      </w:r>
      <w:r>
        <w:t xml:space="preserve"> </w:t>
      </w:r>
      <w:r>
        <w:t xml:space="preserve">test comparing the to populations.</w:t>
      </w:r>
    </w:p>
    <w:p>
      <w:pPr>
        <w:pStyle w:val="BodyText"/>
      </w:pPr>
      <w:r>
        <w:t xml:space="preserve">I wrapped the resampling logic into a function, and called the function for each</w:t>
      </w:r>
      <w:r>
        <w:t xml:space="preserve"> </w:t>
      </w:r>
      <w:r>
        <w:t xml:space="preserve">of the different microhabitats. In the function, I draw 10,000 bootstrap</w:t>
      </w:r>
      <w:r>
        <w:t xml:space="preserve"> </w:t>
      </w:r>
      <w:r>
        <w:t xml:space="preserve">samples. Since this is based on a a random process, the estimated p values will</w:t>
      </w:r>
      <w:r>
        <w:t xml:space="preserve"> </w:t>
      </w:r>
      <w:r>
        <w:t xml:space="preserve">change slightly each time the code is run, but with a resample of 10,000, it</w:t>
      </w:r>
      <w:r>
        <w:t xml:space="preserve"> </w:t>
      </w:r>
      <w:r>
        <w:t xml:space="preserve">should not vary much.</w:t>
      </w:r>
    </w:p>
    <w:bookmarkEnd w:id="30"/>
    <w:bookmarkStart w:id="31" w:name="resampling-results"/>
    <w:p>
      <w:pPr>
        <w:pStyle w:val="Heading2"/>
      </w:pPr>
      <w:r>
        <w:t xml:space="preserve">Resampling Results</w:t>
      </w:r>
    </w:p>
    <w:p>
      <w:pPr>
        <w:pStyle w:val="SourceCode"/>
      </w:pPr>
      <w:r>
        <w:rPr>
          <w:rStyle w:val="VerbatimChar"/>
        </w:rPr>
        <w:t xml:space="preserve">#&gt;                difference p.value</w:t>
      </w:r>
      <w:r>
        <w:br/>
      </w:r>
      <w:r>
        <w:rPr>
          <w:rStyle w:val="VerbatimChar"/>
        </w:rPr>
        <w:t xml:space="preserve">#&gt; Muck           5.238095   1e-04  </w:t>
      </w:r>
      <w:r>
        <w:br/>
      </w:r>
      <w:r>
        <w:rPr>
          <w:rStyle w:val="VerbatimChar"/>
        </w:rPr>
        <w:t xml:space="preserve">#&gt; Clay           1.111111   0.5871 </w:t>
      </w:r>
      <w:r>
        <w:br/>
      </w:r>
      <w:r>
        <w:rPr>
          <w:rStyle w:val="VerbatimChar"/>
        </w:rPr>
        <w:t xml:space="preserve">#&gt; ClayPieces     1.507937   0.118  </w:t>
      </w:r>
      <w:r>
        <w:br/>
      </w:r>
      <w:r>
        <w:rPr>
          <w:rStyle w:val="VerbatimChar"/>
        </w:rPr>
        <w:t xml:space="preserve">#&gt; HardClayBottom 2.460317   0.4073 </w:t>
      </w:r>
      <w:r>
        <w:br/>
      </w:r>
      <w:r>
        <w:rPr>
          <w:rStyle w:val="VerbatimChar"/>
        </w:rPr>
        <w:t xml:space="preserve">#&gt; Silt           17.77778   3e-04  </w:t>
      </w:r>
      <w:r>
        <w:br/>
      </w:r>
      <w:r>
        <w:rPr>
          <w:rStyle w:val="VerbatimChar"/>
        </w:rPr>
        <w:t xml:space="preserve">#&gt; Sand           9.253968   0.0593 </w:t>
      </w:r>
      <w:r>
        <w:br/>
      </w:r>
      <w:r>
        <w:rPr>
          <w:rStyle w:val="VerbatimChar"/>
        </w:rPr>
        <w:t xml:space="preserve">#&gt; Gravel         10.07937   0.0052 </w:t>
      </w:r>
      <w:r>
        <w:br/>
      </w:r>
      <w:r>
        <w:rPr>
          <w:rStyle w:val="VerbatimChar"/>
        </w:rPr>
        <w:t xml:space="preserve">#&gt; Cobble         15.11111   0      </w:t>
      </w:r>
      <w:r>
        <w:br/>
      </w:r>
      <w:r>
        <w:rPr>
          <w:rStyle w:val="VerbatimChar"/>
        </w:rPr>
        <w:t xml:space="preserve">#&gt; Boulder        0.7142857  0.7193 </w:t>
      </w:r>
      <w:r>
        <w:br/>
      </w:r>
      <w:r>
        <w:rPr>
          <w:rStyle w:val="VerbatimChar"/>
        </w:rPr>
        <w:t xml:space="preserve">#&gt; Bedrock        2.857143   0.0722 </w:t>
      </w:r>
      <w:r>
        <w:br/>
      </w:r>
      <w:r>
        <w:rPr>
          <w:rStyle w:val="VerbatimChar"/>
        </w:rPr>
        <w:t xml:space="preserve">#&gt; Aquatic_Bed    1.984127   0.0304 </w:t>
      </w:r>
      <w:r>
        <w:br/>
      </w:r>
      <w:r>
        <w:rPr>
          <w:rStyle w:val="VerbatimChar"/>
        </w:rPr>
        <w:t xml:space="preserve">#&gt; Fern           0.07936508 0.1149 </w:t>
      </w:r>
      <w:r>
        <w:br/>
      </w:r>
      <w:r>
        <w:rPr>
          <w:rStyle w:val="VerbatimChar"/>
        </w:rPr>
        <w:t xml:space="preserve">#&gt; Leaf_Litter    4          0.3308 </w:t>
      </w:r>
      <w:r>
        <w:br/>
      </w:r>
      <w:r>
        <w:rPr>
          <w:rStyle w:val="VerbatimChar"/>
        </w:rPr>
        <w:t xml:space="preserve">#&gt; Wood           0.6666667  0.6089 </w:t>
      </w:r>
      <w:r>
        <w:br/>
      </w:r>
      <w:r>
        <w:rPr>
          <w:rStyle w:val="VerbatimChar"/>
        </w:rPr>
        <w:t xml:space="preserve">#&gt; Fill_Garbage   1.507937   0.0376</w:t>
      </w:r>
    </w:p>
    <w:bookmarkEnd w:id="31"/>
    <w:bookmarkStart w:id="32" w:name="compare-two-tests"/>
    <w:p>
      <w:pPr>
        <w:pStyle w:val="Heading2"/>
      </w:pPr>
      <w:r>
        <w:t xml:space="preserve">Compare Two Tests</w:t>
      </w:r>
    </w:p>
    <w:p>
      <w:pPr>
        <w:pStyle w:val="FirstParagraph"/>
      </w:pPr>
      <w:r>
        <w:t xml:space="preserve">It is instructive to compare the p value estimates for the two different tests.</w:t>
      </w:r>
      <w:r>
        <w:t xml:space="preserve"> </w:t>
      </w:r>
      <w:r>
        <w:t xml:space="preserve">The p value is a property of the statistical model, not only of the data, so</w:t>
      </w:r>
      <w:r>
        <w:t xml:space="preserve"> </w:t>
      </w:r>
      <w:r>
        <w:t xml:space="preserve">different analytic methods give different p values. Here, the two</w:t>
      </w:r>
      <w:r>
        <w:t xml:space="preserve"> </w:t>
      </w:r>
      <w:r>
        <w:t xml:space="preserve">tests both test differences between observed means. Both p values estimate the</w:t>
      </w:r>
      <w:r>
        <w:t xml:space="preserve"> </w:t>
      </w:r>
      <w:r>
        <w:t xml:space="preserve">probability that the observed difference between the two means would arise by</w:t>
      </w:r>
      <w:r>
        <w:t xml:space="preserve"> </w:t>
      </w:r>
      <w:r>
        <w:t xml:space="preserve">chance alone, if there were no real difference in abundance of the specific</w:t>
      </w:r>
      <w:r>
        <w:t xml:space="preserve"> </w:t>
      </w:r>
      <w:r>
        <w:t xml:space="preserve">microhabitat.</w:t>
      </w:r>
    </w:p>
    <w:p>
      <w:pPr>
        <w:pStyle w:val="SourceCode"/>
      </w:pPr>
      <w:r>
        <w:rPr>
          <w:rStyle w:val="VerbatimChar"/>
        </w:rPr>
        <w:t xml:space="preserve">#&gt;                t_test Resampling</w:t>
      </w:r>
      <w:r>
        <w:br/>
      </w:r>
      <w:r>
        <w:rPr>
          <w:rStyle w:val="VerbatimChar"/>
        </w:rPr>
        <w:t xml:space="preserve">#&gt; Muck           0.0004     0.0001</w:t>
      </w:r>
      <w:r>
        <w:br/>
      </w:r>
      <w:r>
        <w:rPr>
          <w:rStyle w:val="VerbatimChar"/>
        </w:rPr>
        <w:t xml:space="preserve">#&gt; Clay           0.6096     0.5871</w:t>
      </w:r>
      <w:r>
        <w:br/>
      </w:r>
      <w:r>
        <w:rPr>
          <w:rStyle w:val="VerbatimChar"/>
        </w:rPr>
        <w:t xml:space="preserve">#&gt; ClayPieces     0.3212     0.1180</w:t>
      </w:r>
      <w:r>
        <w:br/>
      </w:r>
      <w:r>
        <w:rPr>
          <w:rStyle w:val="VerbatimChar"/>
        </w:rPr>
        <w:t xml:space="preserve">#&gt; HardClayBottom 0.4224     0.4073</w:t>
      </w:r>
      <w:r>
        <w:br/>
      </w:r>
      <w:r>
        <w:rPr>
          <w:rStyle w:val="VerbatimChar"/>
        </w:rPr>
        <w:t xml:space="preserve">#&gt; Silt           0.0003     0.0003</w:t>
      </w:r>
      <w:r>
        <w:br/>
      </w:r>
      <w:r>
        <w:rPr>
          <w:rStyle w:val="VerbatimChar"/>
        </w:rPr>
        <w:t xml:space="preserve">#&gt; Sand           0.0577     0.0593</w:t>
      </w:r>
      <w:r>
        <w:br/>
      </w:r>
      <w:r>
        <w:rPr>
          <w:rStyle w:val="VerbatimChar"/>
        </w:rPr>
        <w:t xml:space="preserve">#&gt; Gravel         0.0048     0.0052</w:t>
      </w:r>
      <w:r>
        <w:br/>
      </w:r>
      <w:r>
        <w:rPr>
          <w:rStyle w:val="VerbatimChar"/>
        </w:rPr>
        <w:t xml:space="preserve">#&gt; Cobble         0.0001     0.0000</w:t>
      </w:r>
      <w:r>
        <w:br/>
      </w:r>
      <w:r>
        <w:rPr>
          <w:rStyle w:val="VerbatimChar"/>
        </w:rPr>
        <w:t xml:space="preserve">#&gt; Boulder        0.7198     0.7193</w:t>
      </w:r>
      <w:r>
        <w:br/>
      </w:r>
      <w:r>
        <w:rPr>
          <w:rStyle w:val="VerbatimChar"/>
        </w:rPr>
        <w:t xml:space="preserve">#&gt; Bedrock        0.1590     0.0722</w:t>
      </w:r>
      <w:r>
        <w:br/>
      </w:r>
      <w:r>
        <w:rPr>
          <w:rStyle w:val="VerbatimChar"/>
        </w:rPr>
        <w:t xml:space="preserve">#&gt; Aquatic_Bed    0.0285     0.0304</w:t>
      </w:r>
      <w:r>
        <w:br/>
      </w:r>
      <w:r>
        <w:rPr>
          <w:rStyle w:val="VerbatimChar"/>
        </w:rPr>
        <w:t xml:space="preserve">#&gt; Fern           0.3212     0.1149</w:t>
      </w:r>
      <w:r>
        <w:br/>
      </w:r>
      <w:r>
        <w:rPr>
          <w:rStyle w:val="VerbatimChar"/>
        </w:rPr>
        <w:t xml:space="preserve">#&gt; Leaf_Litter    0.3362     0.3308</w:t>
      </w:r>
      <w:r>
        <w:br/>
      </w:r>
      <w:r>
        <w:rPr>
          <w:rStyle w:val="VerbatimChar"/>
        </w:rPr>
        <w:t xml:space="preserve">#&gt; Wood           0.6188     0.6089</w:t>
      </w:r>
      <w:r>
        <w:br/>
      </w:r>
      <w:r>
        <w:rPr>
          <w:rStyle w:val="VerbatimChar"/>
        </w:rPr>
        <w:t xml:space="preserve">#&gt; Fill_Garbage   0.0398     0.0376</w:t>
      </w:r>
    </w:p>
    <w:p>
      <w:pPr>
        <w:pStyle w:val="FirstParagraph"/>
      </w:pPr>
      <w:r>
        <w:t xml:space="preserve">Qualitatively, the results are similar. In only one case (Bedrock) does</w:t>
      </w:r>
      <w:r>
        <w:t xml:space="preserve"> </w:t>
      </w:r>
      <w:r>
        <w:t xml:space="preserve">the choice of test change the qualitative conclusions we would draw. That gives</w:t>
      </w:r>
      <w:r>
        <w:t xml:space="preserve"> </w:t>
      </w:r>
      <w:r>
        <w:t xml:space="preserve">me some confidence that the conclusions are robust to the statistical approach</w:t>
      </w:r>
      <w:r>
        <w:t xml:space="preserve"> </w:t>
      </w:r>
      <w:r>
        <w:t xml:space="preserve">used.</w:t>
      </w:r>
    </w:p>
    <w:p>
      <w:pPr>
        <w:pStyle w:val="BodyText"/>
      </w:pPr>
      <w:r>
        <w:t xml:space="preserve">We can conclude (based on the suggested</w:t>
      </w:r>
      <w:r>
        <w:t xml:space="preserve"> </w:t>
      </w:r>
      <w:r>
        <w:t xml:space="preserve">“</w:t>
      </w:r>
      <w:r>
        <w:t xml:space="preserve">liberal</w:t>
      </w:r>
      <w:r>
        <w:t xml:space="preserve">”</w:t>
      </w:r>
      <w:r>
        <w:t xml:space="preserve"> </w:t>
      </w:r>
      <w:r>
        <w:t xml:space="preserve">critical p value of 10%) that</w:t>
      </w:r>
      <w:r>
        <w:t xml:space="preserve"> </w:t>
      </w:r>
      <w:r>
        <w:t xml:space="preserve">differences in microhabitat abundance for the following microhabitats</w:t>
      </w:r>
      <w:r>
        <w:t xml:space="preserve"> </w:t>
      </w:r>
      <w:r>
        <w:t xml:space="preserve">are probably meaningful:</w:t>
      </w:r>
    </w:p>
    <w:p>
      <w:pPr>
        <w:numPr>
          <w:ilvl w:val="0"/>
          <w:numId w:val="1002"/>
        </w:numPr>
        <w:pStyle w:val="Compact"/>
      </w:pPr>
      <w:r>
        <w:t xml:space="preserve">Muck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Silt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Sand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Gravel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Cobble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Bedrock (by one test and not the other)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Aquatic Bed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Fill Garbage</w:t>
      </w:r>
    </w:p>
    <w:bookmarkEnd w:id="32"/>
    <w:bookmarkEnd w:id="33"/>
    <w:bookmarkStart w:id="40" w:name="modified-graphics"/>
    <w:p>
      <w:pPr>
        <w:pStyle w:val="Heading1"/>
      </w:pPr>
      <w:r>
        <w:t xml:space="preserve">Modified Graphics</w:t>
      </w:r>
    </w:p>
    <w:bookmarkStart w:id="35" w:name="add-a-marker-of-statistical-significance"/>
    <w:p>
      <w:pPr>
        <w:pStyle w:val="Heading2"/>
      </w:pPr>
      <w:r>
        <w:t xml:space="preserve">Add a Marker of Statistical Significance</w:t>
      </w:r>
    </w:p>
    <w:p>
      <w:pPr>
        <w:pStyle w:val="FirstParagraph"/>
      </w:pPr>
      <w:r>
        <w:t xml:space="preserve">It is nice to add some sort of a marker to the graphic showing which</w:t>
      </w:r>
      <w:r>
        <w:t xml:space="preserve"> </w:t>
      </w:r>
      <w:r>
        <w:t xml:space="preserve">comparisons are statistically robust.</w:t>
      </w:r>
    </w:p>
    <w:p>
      <w:pPr>
        <w:pStyle w:val="SourceCode"/>
      </w:pPr>
      <w:r>
        <w:rPr>
          <w:rStyle w:val="VerbatimChar"/>
        </w:rPr>
        <w:t xml:space="preserve">#&gt; Warning: Removed 7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crohabitat-Analysis-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add-confidence-intervals"/>
    <w:p>
      <w:pPr>
        <w:pStyle w:val="Heading2"/>
      </w:pPr>
      <w:r>
        <w:t xml:space="preserve">Add Confidence Intervals</w:t>
      </w:r>
    </w:p>
    <w:p>
      <w:pPr>
        <w:pStyle w:val="FirstParagraph"/>
      </w:pPr>
      <w:r>
        <w:t xml:space="preserve">A graphical alternative is to add standard deviation, standard error, or</w:t>
      </w:r>
      <w:r>
        <w:t xml:space="preserve"> </w:t>
      </w:r>
      <w:r>
        <w:t xml:space="preserve">confidence intervals to the graphic. I would not use standard deviation, as the</w:t>
      </w:r>
      <w:r>
        <w:t xml:space="preserve"> </w:t>
      </w:r>
      <w:r>
        <w:t xml:space="preserve">error distribution is likely to be asymmetrical, especially for rarely seen</w:t>
      </w:r>
      <w:r>
        <w:t xml:space="preserve"> </w:t>
      </w:r>
      <w:r>
        <w:t xml:space="preserve">habitats. A standard error of the mean (or symmetric confidence intervals</w:t>
      </w:r>
      <w:r>
        <w:t xml:space="preserve"> </w:t>
      </w:r>
      <w:r>
        <w:t xml:space="preserve">derived from the standard error) hold the same risk. My preference is to go with bootstrapped confidence intervals.</w:t>
      </w:r>
    </w:p>
    <w:p>
      <w:pPr>
        <w:pStyle w:val="BodyText"/>
      </w:pPr>
      <w:r>
        <w:t xml:space="preserve">Bootstrapped confidence intervals (in their simplest form) resample from the</w:t>
      </w:r>
      <w:r>
        <w:t xml:space="preserve"> </w:t>
      </w:r>
      <w:r>
        <w:t xml:space="preserve">observed data and calculate the mean of that sample. Do that over and over</w:t>
      </w:r>
      <w:r>
        <w:t xml:space="preserve"> </w:t>
      </w:r>
      <w:r>
        <w:t xml:space="preserve">again and you can use the distribution of those resampled means to estimate the</w:t>
      </w:r>
      <w:r>
        <w:t xml:space="preserve"> </w:t>
      </w:r>
      <w:r>
        <w:t xml:space="preserve">likely outer limits of what you would expect to observe if you repeated the</w:t>
      </w:r>
      <w:r>
        <w:t xml:space="preserve"> </w:t>
      </w:r>
      <w:r>
        <w:t xml:space="preserve">study.</w:t>
      </w:r>
    </w:p>
    <w:p>
      <w:pPr>
        <w:pStyle w:val="BodyText"/>
      </w:pPr>
      <w:r>
        <w:t xml:space="preserve">I calculated 90% confidence intervals (matching the proposed 10% P value) via a</w:t>
      </w:r>
      <w:r>
        <w:t xml:space="preserve"> </w:t>
      </w:r>
      <w:r>
        <w:t xml:space="preserve">simple bootstrap model, built into another small function. The intervals are</w:t>
      </w:r>
      <w:r>
        <w:t xml:space="preserve"> </w:t>
      </w:r>
      <w:r>
        <w:t xml:space="preserve">based on 10,000 bootstrap samples. The specific values are the result of</w:t>
      </w:r>
      <w:r>
        <w:t xml:space="preserve"> </w:t>
      </w:r>
      <w:r>
        <w:t xml:space="preserve">resampling, so the exact values will differ in the third or fourth decimal</w:t>
      </w:r>
      <w:r>
        <w:t xml:space="preserve"> </w:t>
      </w:r>
      <w:r>
        <w:t xml:space="preserve">place each time the code is run.</w:t>
      </w:r>
    </w:p>
    <w:bookmarkStart w:id="36" w:name="calculate-confidence-intervals"/>
    <w:p>
      <w:pPr>
        <w:pStyle w:val="Heading3"/>
      </w:pPr>
      <w:r>
        <w:t xml:space="preserve">Calculate Confidence Intervals</w:t>
      </w:r>
    </w:p>
    <w:p>
      <w:pPr>
        <w:pStyle w:val="SourceCode"/>
      </w:pPr>
      <w:r>
        <w:rPr>
          <w:rStyle w:val="VerbatimChar"/>
        </w:rPr>
        <w:t xml:space="preserve">#&gt; Reference Reach Bootstrapped 90% Confidence Intervals</w:t>
      </w:r>
      <w:r>
        <w:br/>
      </w:r>
      <w:r>
        <w:rPr>
          <w:rStyle w:val="VerbatimChar"/>
        </w:rPr>
        <w:t xml:space="preserve">#&gt;                Upper.CL Lower.CL</w:t>
      </w:r>
      <w:r>
        <w:br/>
      </w:r>
      <w:r>
        <w:rPr>
          <w:rStyle w:val="VerbatimChar"/>
        </w:rPr>
        <w:t xml:space="preserve">#&gt; Muck              1.429    0.079</w:t>
      </w:r>
      <w:r>
        <w:br/>
      </w:r>
      <w:r>
        <w:rPr>
          <w:rStyle w:val="VerbatimChar"/>
        </w:rPr>
        <w:t xml:space="preserve">#&gt; Clay              7.143    0.476</w:t>
      </w:r>
      <w:r>
        <w:br/>
      </w:r>
      <w:r>
        <w:rPr>
          <w:rStyle w:val="VerbatimChar"/>
        </w:rPr>
        <w:t xml:space="preserve">#&gt; ClayPieces        4.524    0.000</w:t>
      </w:r>
      <w:r>
        <w:br/>
      </w:r>
      <w:r>
        <w:rPr>
          <w:rStyle w:val="VerbatimChar"/>
        </w:rPr>
        <w:t xml:space="preserve">#&gt; HardClayBottom    6.032    0.000</w:t>
      </w:r>
      <w:r>
        <w:br/>
      </w:r>
      <w:r>
        <w:rPr>
          <w:rStyle w:val="VerbatimChar"/>
        </w:rPr>
        <w:t xml:space="preserve">#&gt; Silt             35.794   21.667</w:t>
      </w:r>
      <w:r>
        <w:br/>
      </w:r>
      <w:r>
        <w:rPr>
          <w:rStyle w:val="VerbatimChar"/>
        </w:rPr>
        <w:t xml:space="preserve">#&gt; Sand             32.857   20.159</w:t>
      </w:r>
      <w:r>
        <w:br/>
      </w:r>
      <w:r>
        <w:rPr>
          <w:rStyle w:val="VerbatimChar"/>
        </w:rPr>
        <w:t xml:space="preserve">#&gt; Gravel            5.000    0.317</w:t>
      </w:r>
      <w:r>
        <w:br/>
      </w:r>
      <w:r>
        <w:rPr>
          <w:rStyle w:val="VerbatimChar"/>
        </w:rPr>
        <w:t xml:space="preserve">#&gt; Cobble            2.222    0.000</w:t>
      </w:r>
      <w:r>
        <w:br/>
      </w:r>
      <w:r>
        <w:rPr>
          <w:rStyle w:val="VerbatimChar"/>
        </w:rPr>
        <w:t xml:space="preserve">#&gt; Boulder           4.762    0.079</w:t>
      </w:r>
      <w:r>
        <w:br/>
      </w:r>
      <w:r>
        <w:rPr>
          <w:rStyle w:val="VerbatimChar"/>
        </w:rPr>
        <w:t xml:space="preserve">#&gt; Bedrock           5.714    0.000</w:t>
      </w:r>
      <w:r>
        <w:br/>
      </w:r>
      <w:r>
        <w:rPr>
          <w:rStyle w:val="VerbatimChar"/>
        </w:rPr>
        <w:t xml:space="preserve">#&gt; Aquatic_Bed       1.190    0.079</w:t>
      </w:r>
      <w:r>
        <w:br/>
      </w:r>
      <w:r>
        <w:rPr>
          <w:rStyle w:val="VerbatimChar"/>
        </w:rPr>
        <w:t xml:space="preserve">#&gt; Fern              0.000    0.000</w:t>
      </w:r>
      <w:r>
        <w:br/>
      </w:r>
      <w:r>
        <w:rPr>
          <w:rStyle w:val="VerbatimChar"/>
        </w:rPr>
        <w:t xml:space="preserve">#&gt; Leaf_Litter      27.381   16.508</w:t>
      </w:r>
      <w:r>
        <w:br/>
      </w:r>
      <w:r>
        <w:rPr>
          <w:rStyle w:val="VerbatimChar"/>
        </w:rPr>
        <w:t xml:space="preserve">#&gt; Wood              7.698    4.524</w:t>
      </w:r>
      <w:r>
        <w:br/>
      </w:r>
      <w:r>
        <w:rPr>
          <w:rStyle w:val="VerbatimChar"/>
        </w:rPr>
        <w:t xml:space="preserve">#&gt; Fill_Garbage      0.238    0.000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Restoration Reach Bootstrapped 90% Confidence Intervals</w:t>
      </w:r>
      <w:r>
        <w:br/>
      </w:r>
      <w:r>
        <w:rPr>
          <w:rStyle w:val="VerbatimChar"/>
        </w:rPr>
        <w:t xml:space="preserve">#&gt;                Upper.CL Lower.CL</w:t>
      </w:r>
      <w:r>
        <w:br/>
      </w:r>
      <w:r>
        <w:rPr>
          <w:rStyle w:val="VerbatimChar"/>
        </w:rPr>
        <w:t xml:space="preserve">#&gt; Muck              8.175    3.810</w:t>
      </w:r>
      <w:r>
        <w:br/>
      </w:r>
      <w:r>
        <w:rPr>
          <w:rStyle w:val="VerbatimChar"/>
        </w:rPr>
        <w:t xml:space="preserve">#&gt; Clay              3.413    1.111</w:t>
      </w:r>
      <w:r>
        <w:br/>
      </w:r>
      <w:r>
        <w:rPr>
          <w:rStyle w:val="VerbatimChar"/>
        </w:rPr>
        <w:t xml:space="preserve">#&gt; ClayPieces        0.000    0.000</w:t>
      </w:r>
      <w:r>
        <w:br/>
      </w:r>
      <w:r>
        <w:rPr>
          <w:rStyle w:val="VerbatimChar"/>
        </w:rPr>
        <w:t xml:space="preserve">#&gt; HardClayBottom    9.365    1.984</w:t>
      </w:r>
      <w:r>
        <w:br/>
      </w:r>
      <w:r>
        <w:rPr>
          <w:rStyle w:val="VerbatimChar"/>
        </w:rPr>
        <w:t xml:space="preserve">#&gt; Silt             13.810    8.016</w:t>
      </w:r>
      <w:r>
        <w:br/>
      </w:r>
      <w:r>
        <w:rPr>
          <w:rStyle w:val="VerbatimChar"/>
        </w:rPr>
        <w:t xml:space="preserve">#&gt; Sand             21.857   12.889</w:t>
      </w:r>
      <w:r>
        <w:br/>
      </w:r>
      <w:r>
        <w:rPr>
          <w:rStyle w:val="VerbatimChar"/>
        </w:rPr>
        <w:t xml:space="preserve">#&gt; Gravel           17.778    7.460</w:t>
      </w:r>
      <w:r>
        <w:br/>
      </w:r>
      <w:r>
        <w:rPr>
          <w:rStyle w:val="VerbatimChar"/>
        </w:rPr>
        <w:t xml:space="preserve">#&gt; Cobble           22.159   10.429</w:t>
      </w:r>
      <w:r>
        <w:br/>
      </w:r>
      <w:r>
        <w:rPr>
          <w:rStyle w:val="VerbatimChar"/>
        </w:rPr>
        <w:t xml:space="preserve">#&gt; Boulder           5.079    0.794</w:t>
      </w:r>
      <w:r>
        <w:br/>
      </w:r>
      <w:r>
        <w:rPr>
          <w:rStyle w:val="VerbatimChar"/>
        </w:rPr>
        <w:t xml:space="preserve">#&gt; Bedrock           0.000    0.000</w:t>
      </w:r>
      <w:r>
        <w:br/>
      </w:r>
      <w:r>
        <w:rPr>
          <w:rStyle w:val="VerbatimChar"/>
        </w:rPr>
        <w:t xml:space="preserve">#&gt; Aquatic_Bed       3.889    1.270</w:t>
      </w:r>
      <w:r>
        <w:br/>
      </w:r>
      <w:r>
        <w:rPr>
          <w:rStyle w:val="VerbatimChar"/>
        </w:rPr>
        <w:t xml:space="preserve">#&gt; Fern              0.238    0.000</w:t>
      </w:r>
      <w:r>
        <w:br/>
      </w:r>
      <w:r>
        <w:rPr>
          <w:rStyle w:val="VerbatimChar"/>
        </w:rPr>
        <w:t xml:space="preserve">#&gt; Leaf_Litter      21.825   13.810</w:t>
      </w:r>
      <w:r>
        <w:br/>
      </w:r>
      <w:r>
        <w:rPr>
          <w:rStyle w:val="VerbatimChar"/>
        </w:rPr>
        <w:t xml:space="preserve">#&gt; Wood              6.984    3.889</w:t>
      </w:r>
      <w:r>
        <w:br/>
      </w:r>
      <w:r>
        <w:rPr>
          <w:rStyle w:val="VerbatimChar"/>
        </w:rPr>
        <w:t xml:space="preserve">#&gt; Fill_Garbage      2.937    0.556</w:t>
      </w:r>
    </w:p>
    <w:bookmarkEnd w:id="36"/>
    <w:bookmarkStart w:id="38" w:name="create-the-graphic"/>
    <w:p>
      <w:pPr>
        <w:pStyle w:val="Heading3"/>
      </w:pPr>
      <w:r>
        <w:t xml:space="preserve">Create the Graphic</w:t>
      </w:r>
    </w:p>
    <w:p>
      <w:pPr>
        <w:pStyle w:val="FirstParagraph"/>
      </w:pPr>
      <w:r>
        <w:t xml:space="preserve">We can also add those confidence intervals to the previous graphic.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crohabitat-Analysis-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End w:id="40"/>
    <w:bookmarkStart w:id="42" w:name="an-alternative-approach"/>
    <w:p>
      <w:pPr>
        <w:pStyle w:val="Heading1"/>
      </w:pPr>
      <w:r>
        <w:t xml:space="preserve">An Alternative Approach</w:t>
      </w:r>
    </w:p>
    <w:p>
      <w:pPr>
        <w:pStyle w:val="FirstParagraph"/>
      </w:pPr>
      <w:r>
        <w:t xml:space="preserve">Practically, there are a few other approaches to testing statistical</w:t>
      </w:r>
      <w:r>
        <w:t xml:space="preserve"> </w:t>
      </w:r>
      <w:r>
        <w:t xml:space="preserve">significance that one might apply. Each method asks and answers a slightly</w:t>
      </w:r>
      <w:r>
        <w:t xml:space="preserve"> </w:t>
      </w:r>
      <w:r>
        <w:t xml:space="preserve">different questions about the data.</w:t>
      </w:r>
    </w:p>
    <w:p>
      <w:pPr>
        <w:pStyle w:val="BodyText"/>
      </w:pPr>
      <w:r>
        <w:t xml:space="preserve">The simplest practical alternative is probably to use a contingency table to</w:t>
      </w:r>
      <w:r>
        <w:t xml:space="preserve"> </w:t>
      </w:r>
      <w:r>
        <w:t xml:space="preserve">test frequency of observing habitat types, and test if frequencies are different</w:t>
      </w:r>
      <w:r>
        <w:t xml:space="preserve"> </w:t>
      </w:r>
      <w:r>
        <w:t xml:space="preserve">between the two stream reaches. (After that I might consider hierarchical</w:t>
      </w:r>
      <w:r>
        <w:t xml:space="preserve"> </w:t>
      </w:r>
      <w:r>
        <w:t xml:space="preserve">models, but that is overkill here.)</w:t>
      </w:r>
    </w:p>
    <w:p>
      <w:pPr>
        <w:pStyle w:val="BodyText"/>
      </w:pPr>
      <w:r>
        <w:t xml:space="preserve">A contingency table does two things differently. First, it only determines if</w:t>
      </w:r>
      <w:r>
        <w:t xml:space="preserve"> </w:t>
      </w:r>
      <w:r>
        <w:t xml:space="preserve">microhabitat frequencies</w:t>
      </w:r>
      <w:r>
        <w:t xml:space="preserve"> </w:t>
      </w:r>
      <w:r>
        <w:rPr>
          <w:i/>
        </w:rPr>
        <w:t xml:space="preserve">overall</w:t>
      </w:r>
      <w:r>
        <w:t xml:space="preserve"> </w:t>
      </w:r>
      <w:r>
        <w:t xml:space="preserve">are different (it does not tell you WHICH</w:t>
      </w:r>
      <w:r>
        <w:t xml:space="preserve"> </w:t>
      </w:r>
      <w:r>
        <w:t xml:space="preserve">frequencies are different). And second, it only looks at how many times you</w:t>
      </w:r>
      <w:r>
        <w:t xml:space="preserve"> </w:t>
      </w:r>
      <w:r>
        <w:t xml:space="preserve">observed each microhabitat in the 63 quadrats. It does not consider what the</w:t>
      </w:r>
      <w:r>
        <w:t xml:space="preserve"> </w:t>
      </w:r>
      <w:r>
        <w:t xml:space="preserve">percent cover within each quadrat was.</w:t>
      </w:r>
    </w:p>
    <w:p>
      <w:pPr>
        <w:pStyle w:val="BodyText"/>
      </w:pPr>
      <w:r>
        <w:t xml:space="preserve">In that sense it’s a less informative test, but it is complementary</w:t>
      </w:r>
      <w:r>
        <w:t xml:space="preserve"> </w:t>
      </w:r>
      <w:r>
        <w:t xml:space="preserve">to the prior approaches, so it provides another way to check whether our</w:t>
      </w:r>
      <w:r>
        <w:t xml:space="preserve"> </w:t>
      </w:r>
      <w:r>
        <w:t xml:space="preserve">qualitative conclusions depend on how we conduct the analysis.</w:t>
      </w:r>
    </w:p>
    <w:bookmarkStart w:id="41" w:name="contingency-table-analysis"/>
    <w:p>
      <w:pPr>
        <w:pStyle w:val="Heading2"/>
      </w:pPr>
      <w:r>
        <w:t xml:space="preserve">Contingency Table Analysis</w:t>
      </w:r>
    </w:p>
    <w:p>
      <w:pPr>
        <w:pStyle w:val="FirstParagraph"/>
      </w:pPr>
      <w:r>
        <w:t xml:space="preserve">Contingency tables are notoriously unhappy with cells with an</w:t>
      </w:r>
      <w:r>
        <w:t xml:space="preserve"> </w:t>
      </w:r>
      <w:r>
        <w:t xml:space="preserve">“</w:t>
      </w:r>
      <w:r>
        <w:t xml:space="preserve">expected</w:t>
      </w:r>
      <w:r>
        <w:t xml:space="preserve">”</w:t>
      </w:r>
      <w:r>
        <w:t xml:space="preserve"> </w:t>
      </w:r>
      <w:r>
        <w:t xml:space="preserve">number</w:t>
      </w:r>
      <w:r>
        <w:t xml:space="preserve"> </w:t>
      </w:r>
      <w:r>
        <w:t xml:space="preserve">under the null hypothesis under 5 or so. As a result, we should pool the less</w:t>
      </w:r>
      <w:r>
        <w:t xml:space="preserve"> </w:t>
      </w:r>
      <w:r>
        <w:t xml:space="preserve">common microhabitat types before analysis</w:t>
      </w:r>
    </w:p>
    <w:p>
      <w:pPr>
        <w:pStyle w:val="BodyText"/>
      </w:pPr>
      <w:r>
        <w:t xml:space="preserve">We pool</w:t>
      </w:r>
      <w:r>
        <w:t xml:space="preserve"> </w:t>
      </w:r>
      <w:r>
        <w:t xml:space="preserve">“</w:t>
      </w:r>
      <w:r>
        <w:t xml:space="preserve">Rare</w:t>
      </w:r>
      <w:r>
        <w:t xml:space="preserve">”</w:t>
      </w:r>
      <w:r>
        <w:t xml:space="preserve"> </w:t>
      </w:r>
      <w:r>
        <w:t xml:space="preserve">habitats – those with fewer than 10 observations.</w:t>
      </w:r>
    </w:p>
    <w:p>
      <w:pPr>
        <w:numPr>
          <w:ilvl w:val="0"/>
          <w:numId w:val="1003"/>
        </w:numPr>
      </w:pPr>
      <w:r>
        <w:t xml:space="preserve">ClayPieces</w:t>
      </w:r>
    </w:p>
    <w:p>
      <w:pPr>
        <w:numPr>
          <w:ilvl w:val="0"/>
          <w:numId w:val="1003"/>
        </w:numPr>
      </w:pPr>
      <w:r>
        <w:t xml:space="preserve">HardClayBottom</w:t>
      </w:r>
    </w:p>
    <w:p>
      <w:pPr>
        <w:numPr>
          <w:ilvl w:val="0"/>
          <w:numId w:val="1003"/>
        </w:numPr>
      </w:pPr>
      <w:r>
        <w:t xml:space="preserve">Boulder</w:t>
      </w:r>
    </w:p>
    <w:p>
      <w:pPr>
        <w:numPr>
          <w:ilvl w:val="0"/>
          <w:numId w:val="1003"/>
        </w:numPr>
      </w:pPr>
      <w:r>
        <w:t xml:space="preserve">Bedrock</w:t>
      </w:r>
    </w:p>
    <w:p>
      <w:pPr>
        <w:numPr>
          <w:ilvl w:val="0"/>
          <w:numId w:val="1003"/>
        </w:numPr>
      </w:pPr>
      <w:r>
        <w:t xml:space="preserve">Fern</w:t>
      </w:r>
    </w:p>
    <w:p>
      <w:pPr>
        <w:numPr>
          <w:ilvl w:val="0"/>
          <w:numId w:val="1003"/>
        </w:numPr>
      </w:pPr>
      <w:r>
        <w:t xml:space="preserve">Fill_Garbage</w:t>
      </w:r>
    </w:p>
    <w:p>
      <w:pPr>
        <w:pStyle w:val="FirstParagraph"/>
      </w:pPr>
      <w:r>
        <w:t xml:space="preserve">and end up with the following contingency table:</w:t>
      </w:r>
    </w:p>
    <w:p>
      <w:pPr>
        <w:pStyle w:val="SourceCode"/>
      </w:pPr>
      <w:r>
        <w:rPr>
          <w:rStyle w:val="VerbatimChar"/>
        </w:rPr>
        <w:t xml:space="preserve">#&gt;              Reach</w:t>
      </w:r>
      <w:r>
        <w:br/>
      </w:r>
      <w:r>
        <w:rPr>
          <w:rStyle w:val="VerbatimChar"/>
        </w:rPr>
        <w:t xml:space="preserve">#&gt; Microhabitat  Reference Restoration</w:t>
      </w:r>
      <w:r>
        <w:br/>
      </w:r>
      <w:r>
        <w:rPr>
          <w:rStyle w:val="VerbatimChar"/>
        </w:rPr>
        <w:t xml:space="preserve">#&gt;   Muck                3          17</w:t>
      </w:r>
      <w:r>
        <w:br/>
      </w:r>
      <w:r>
        <w:rPr>
          <w:rStyle w:val="VerbatimChar"/>
        </w:rPr>
        <w:t xml:space="preserve">#&gt;   Clay                3          10</w:t>
      </w:r>
      <w:r>
        <w:br/>
      </w:r>
      <w:r>
        <w:rPr>
          <w:rStyle w:val="VerbatimChar"/>
        </w:rPr>
        <w:t xml:space="preserve">#&gt;   Rare                9          21</w:t>
      </w:r>
      <w:r>
        <w:br/>
      </w:r>
      <w:r>
        <w:rPr>
          <w:rStyle w:val="VerbatimChar"/>
        </w:rPr>
        <w:t xml:space="preserve">#&gt;   Silt               36          35</w:t>
      </w:r>
      <w:r>
        <w:br/>
      </w:r>
      <w:r>
        <w:rPr>
          <w:rStyle w:val="VerbatimChar"/>
        </w:rPr>
        <w:t xml:space="preserve">#&gt;   Sand               40          42</w:t>
      </w:r>
      <w:r>
        <w:br/>
      </w:r>
      <w:r>
        <w:rPr>
          <w:rStyle w:val="VerbatimChar"/>
        </w:rPr>
        <w:t xml:space="preserve">#&gt;   Gravel              5          21</w:t>
      </w:r>
      <w:r>
        <w:br/>
      </w:r>
      <w:r>
        <w:rPr>
          <w:rStyle w:val="VerbatimChar"/>
        </w:rPr>
        <w:t xml:space="preserve">#&gt;   Cobble              2          21</w:t>
      </w:r>
      <w:r>
        <w:br/>
      </w:r>
      <w:r>
        <w:rPr>
          <w:rStyle w:val="VerbatimChar"/>
        </w:rPr>
        <w:t xml:space="preserve">#&gt;   Aquatic_Bed         3           9</w:t>
      </w:r>
      <w:r>
        <w:br/>
      </w:r>
      <w:r>
        <w:rPr>
          <w:rStyle w:val="VerbatimChar"/>
        </w:rPr>
        <w:t xml:space="preserve">#&gt;   Leaf_Litter        51          47</w:t>
      </w:r>
      <w:r>
        <w:br/>
      </w:r>
      <w:r>
        <w:rPr>
          <w:rStyle w:val="VerbatimChar"/>
        </w:rPr>
        <w:t xml:space="preserve">#&gt;   Wood               38          32</w:t>
      </w:r>
    </w:p>
    <w:p>
      <w:pPr>
        <w:pStyle w:val="FirstParagraph"/>
      </w:pPr>
      <w:r>
        <w:t xml:space="preserve">It is worth pointing out that some of the microhabitats that showed robust</w:t>
      </w:r>
      <w:r>
        <w:t xml:space="preserve"> </w:t>
      </w:r>
      <w:r>
        <w:t xml:space="preserve">differences in the t test and resampling analyses show little difference in the</w:t>
      </w:r>
      <w:r>
        <w:t xml:space="preserve"> </w:t>
      </w:r>
      <w:r>
        <w:t xml:space="preserve">number of plots in which they occurred. Look at Sand and Silt, for example.</w:t>
      </w:r>
    </w:p>
    <w:p>
      <w:pPr>
        <w:pStyle w:val="BodyText"/>
      </w:pPr>
      <w:r>
        <w:t xml:space="preserve">Sand and Silt may be found (nearly) everywhere, but the abundance within plots</w:t>
      </w:r>
      <w:r>
        <w:t xml:space="preserve"> </w:t>
      </w:r>
      <w:r>
        <w:t xml:space="preserve">is different between the two stream reaches. The different statistical</w:t>
      </w:r>
      <w:r>
        <w:t xml:space="preserve"> </w:t>
      </w:r>
      <w:r>
        <w:t xml:space="preserve">approaches are sensitive to different aspects of the spatial arrangement of</w:t>
      </w:r>
      <w:r>
        <w:t xml:space="preserve"> </w:t>
      </w:r>
      <w:r>
        <w:t xml:space="preserve">microhabitats.</w:t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Pearson's Chi-squared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mytab</w:t>
      </w:r>
      <w:r>
        <w:br/>
      </w:r>
      <w:r>
        <w:rPr>
          <w:rStyle w:val="VerbatimChar"/>
        </w:rPr>
        <w:t xml:space="preserve">#&gt; X-squared = 38.989, df = 9, p-value = 1.157e-05</w:t>
      </w:r>
    </w:p>
    <w:p>
      <w:pPr>
        <w:pStyle w:val="FirstParagraph"/>
      </w:pPr>
      <w:r>
        <w:t xml:space="preserve">So the relative abundance of different of microhabitats differs between the two</w:t>
      </w:r>
      <w:r>
        <w:t xml:space="preserve"> </w:t>
      </w:r>
      <w:r>
        <w:t xml:space="preserve">stream reaches. It’s always nice when multiple statistical models lead you to the</w:t>
      </w:r>
      <w:r>
        <w:t xml:space="preserve"> </w:t>
      </w:r>
      <w:r>
        <w:t xml:space="preserve">same conclusions.</w:t>
      </w:r>
    </w:p>
    <w:bookmarkEnd w:id="41"/>
    <w:bookmarkEnd w:id="42"/>
    <w:bookmarkStart w:id="43" w:name="final-notes"/>
    <w:p>
      <w:pPr>
        <w:pStyle w:val="Heading1"/>
      </w:pPr>
      <w:r>
        <w:t xml:space="preserve">Final Notes</w:t>
      </w:r>
    </w:p>
    <w:p>
      <w:pPr>
        <w:numPr>
          <w:ilvl w:val="0"/>
          <w:numId w:val="1004"/>
        </w:numPr>
      </w:pPr>
      <w:r>
        <w:t xml:space="preserve">I was surprised that the results of the t-test were so similar to the</w:t>
      </w:r>
      <w:r>
        <w:t xml:space="preserve"> </w:t>
      </w:r>
      <w:r>
        <w:t xml:space="preserve">results of the resampling test. That suggests it may not be unreasonable</w:t>
      </w:r>
      <w:r>
        <w:t xml:space="preserve"> </w:t>
      </w:r>
      <w:r>
        <w:t xml:space="preserve">to use a t test in future comparisons (interpreting results with suitable</w:t>
      </w:r>
      <w:r>
        <w:t xml:space="preserve"> </w:t>
      </w:r>
      <w:r>
        <w:t xml:space="preserve">humility and care). Relatively good performance of the t test is based on</w:t>
      </w:r>
      <w:r>
        <w:t xml:space="preserve"> </w:t>
      </w:r>
      <w:r>
        <w:t xml:space="preserve">having a large sample size. If the number of quadrats drops, the t test will</w:t>
      </w:r>
      <w:r>
        <w:t xml:space="preserve"> </w:t>
      </w:r>
      <w:r>
        <w:t xml:space="preserve">not perform as well.</w:t>
      </w:r>
    </w:p>
    <w:p>
      <w:pPr>
        <w:numPr>
          <w:ilvl w:val="0"/>
          <w:numId w:val="1004"/>
        </w:numPr>
      </w:pPr>
      <w:r>
        <w:t xml:space="preserve">Analyses could be repeated, taking into account the hierarchical</w:t>
      </w:r>
      <w:r>
        <w:t xml:space="preserve"> </w:t>
      </w:r>
      <w:r>
        <w:t xml:space="preserve">sampling design. The effect would probably be to widen confidence</w:t>
      </w:r>
      <w:r>
        <w:t xml:space="preserve"> </w:t>
      </w:r>
      <w:r>
        <w:t xml:space="preserve">intervals and reduce apparent statistical significance of comparisons. The</w:t>
      </w:r>
      <w:r>
        <w:t xml:space="preserve"> </w:t>
      </w:r>
      <w:r>
        <w:t xml:space="preserve">analysis would also provide some insight into the spatial distribution</w:t>
      </w:r>
      <w:r>
        <w:t xml:space="preserve"> </w:t>
      </w:r>
      <w:r>
        <w:t xml:space="preserve">of microhabitats within each stream reach. But hierarchical analysis</w:t>
      </w:r>
      <w:r>
        <w:t xml:space="preserve"> </w:t>
      </w:r>
      <w:r>
        <w:t xml:space="preserve">significantly complicates things, for relatively small improvement in</w:t>
      </w:r>
      <w:r>
        <w:t xml:space="preserve"> </w:t>
      </w:r>
      <w:r>
        <w:t xml:space="preserve">information. I would not expect the more complex analysis to alter the</w:t>
      </w:r>
      <w:r>
        <w:t xml:space="preserve"> </w:t>
      </w:r>
      <w:r>
        <w:t xml:space="preserve">qualitative conclusions form this analysis. The added effort is probably</w:t>
      </w:r>
      <w:r>
        <w:t xml:space="preserve"> </w:t>
      </w:r>
      <w:r>
        <w:t xml:space="preserve">only justified if greater precision is needed, for scientific publication,</w:t>
      </w:r>
      <w:r>
        <w:t xml:space="preserve"> </w:t>
      </w:r>
      <w:r>
        <w:t xml:space="preserve">to address controversy, or to respond to a specific management question.</w:t>
      </w:r>
    </w:p>
    <w:p>
      <w:pPr>
        <w:numPr>
          <w:ilvl w:val="0"/>
          <w:numId w:val="1004"/>
        </w:numPr>
      </w:pPr>
      <w:r>
        <w:t xml:space="preserve">The purpose of collecting the microhabitat data is to understand</w:t>
      </w:r>
      <w:r>
        <w:t xml:space="preserve"> </w:t>
      </w:r>
      <w:r>
        <w:t xml:space="preserve">how abundance of microhabitats changed following restoration, and how the</w:t>
      </w:r>
      <w:r>
        <w:t xml:space="preserve"> </w:t>
      </w:r>
      <w:r>
        <w:t xml:space="preserve">distribution of microhabitats evolves post-restoration. That makes</w:t>
      </w:r>
      <w:r>
        <w:t xml:space="preserve"> </w:t>
      </w:r>
      <w:r>
        <w:t xml:space="preserve">comparison of change over time within each stream reach arguably more</w:t>
      </w:r>
      <w:r>
        <w:t xml:space="preserve"> </w:t>
      </w:r>
      <w:r>
        <w:t xml:space="preserve">important than a comparison of microhabitat abundances between the two</w:t>
      </w:r>
      <w:r>
        <w:t xml:space="preserve"> </w:t>
      </w:r>
      <w:r>
        <w:t xml:space="preserve">reaches. The analysis just presented offers a preview of issues (and</w:t>
      </w:r>
      <w:r>
        <w:t xml:space="preserve"> </w:t>
      </w:r>
      <w:r>
        <w:t xml:space="preserve">some possible solutions) for a change over time analysis. Correct analysis</w:t>
      </w:r>
      <w:r>
        <w:t xml:space="preserve"> </w:t>
      </w:r>
      <w:r>
        <w:t xml:space="preserve">will also depend on details of the sampling design, and in particular, how</w:t>
      </w:r>
      <w:r>
        <w:t xml:space="preserve"> </w:t>
      </w:r>
      <w:r>
        <w:t xml:space="preserve">sampling locations were selected each year.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hyperlink" Id="rId20" Target="https://github.com/ccb60/LCWMD_2020_microhabitat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ccb60/LCWMD_2020_microhabitat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LCWMD Microhabitat Data Review</dc:title>
  <dc:creator>Curtis C. Bohlen</dc:creator>
  <cp:keywords/>
  <dcterms:created xsi:type="dcterms:W3CDTF">2021-02-04T18:41:44Z</dcterms:created>
  <dcterms:modified xsi:type="dcterms:W3CDTF">2021-02-04T18:41:44Z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2/3/2021</vt:lpwstr>
  </property>
  <property fmtid="{D5CDD505-2E9C-101B-9397-08002B2CF9AE}" pid="3" name="output">
    <vt:lpwstr>word_document</vt:lpwstr>
  </property>
</Properties>
</file>