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</w:t>
      </w:r>
      <w:r>
        <w:t xml:space="preserve"> </w:t>
      </w:r>
      <w:r>
        <w:t xml:space="preserve">for</w:t>
      </w:r>
      <w:r>
        <w:t xml:space="preserve"> </w:t>
      </w:r>
      <w:r>
        <w:t xml:space="preserve">main</w:t>
      </w:r>
      <w:r>
        <w:t xml:space="preserve"> </w:t>
      </w:r>
      <w:r>
        <w:t xml:space="preserve">manuscript</w:t>
      </w:r>
    </w:p>
    <w:p>
      <w:pPr>
        <w:pStyle w:val="FirstParagraph"/>
      </w:pPr>
      <w:r>
        <w:rPr>
          <w:b/>
          <w:bCs/>
        </w:rPr>
        <w:t xml:space="preserve">Table 1:</w:t>
      </w:r>
      <w:r>
        <w:t xml:space="preserve"> </w:t>
      </w:r>
      <w:r>
        <w:t xml:space="preserve">Sample sizes for GWAS meta-analyses. Fixed-effects analyses are listed separately for each population cluster (AFR, AMR, EAS, EUR, MID, and SAS) and totals are given for the multi-ancestry analysis (MR-MEGA). Neff/2 = half effective sample size. ATC = Anatomical Therapeutic Chemical classification subgroups (N06A: antidepressants; N06AA: non-selective monoamine reuptake inhibitors; N06AB: selective serotonin reuptake inhibitors).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studies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Neff/2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19,932.94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12,874.46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7,812.32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241,786.28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2,907.00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7,655.16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295,841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85,892.88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1,892.43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13,718.57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281,196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105,138.40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1,822.48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MR-MEGA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285,824.63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MR-MEGA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384,869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100,205.27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N06AB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MR-MEGA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363,887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130,706.98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2:</w:t>
      </w:r>
      <w:r>
        <w:t xml:space="preserve"> </w:t>
      </w:r>
      <w:r>
        <w:t xml:space="preserve">Drug target enrichment. ATC = Anatomical</w:t>
      </w:r>
      <w:r>
        <w:t xml:space="preserve"> </w:t>
      </w:r>
      <w:r>
        <w:t xml:space="preserve">Therapeutic Chemical classification subgroup. AUC = Area Under the Curve. Q = Significance corrected for multiple testing (Benjamini &amp; Hochberg).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Antipsychotics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Quinolone Antibacterials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Fluoroquinolones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Psycholeptics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Antiinfectives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</w:tr>
    </w:tbl>
    <w:sectPr w:rsidR="00394F0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9BA3C7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2313223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59"/>
    <w:rsid w:val="00394F0A"/>
    <w:rsid w:val="006673D4"/>
    <w:rsid w:val="00AD385E"/>
    <w:rsid w:val="00D1565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for main manuscript</dc:title>
  <dc:creator/>
  <cp:keywords/>
  <dcterms:created xsi:type="dcterms:W3CDTF">2025-06-19T15:17:11Z</dcterms:created>
  <dcterms:modified xsi:type="dcterms:W3CDTF">2025-06-19T15:17:11Z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