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lastRenderedPageBreak/>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w:t>
      </w:r>
      <w:r w:rsidRPr="00036EED">
        <w:rPr>
          <w:rFonts w:asciiTheme="minorHAnsi" w:hAnsiTheme="minorHAnsi" w:cstheme="minorHAnsi"/>
        </w:rPr>
        <w:lastRenderedPageBreak/>
        <w:t xml:space="preserve">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055912"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lastRenderedPageBreak/>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265852EF" w14:textId="0AF296F8" w:rsidR="009206B2" w:rsidRDefault="009206B2" w:rsidP="00360DA9">
      <w:pPr>
        <w:rPr>
          <w:rFonts w:asciiTheme="minorHAnsi" w:hAnsiTheme="minorHAnsi" w:cstheme="minorHAnsi"/>
        </w:rPr>
      </w:pPr>
      <w:r>
        <w:rPr>
          <w:rFonts w:asciiTheme="minorHAnsi" w:hAnsiTheme="minorHAnsi" w:cstheme="minorHAnsi"/>
        </w:rPr>
        <w:t xml:space="preserve">Here are a few notes on the code style generally employed.  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w:t>
      </w:r>
      <w:proofErr w:type="gramStart"/>
      <w:r>
        <w:rPr>
          <w:rFonts w:asciiTheme="minorHAnsi" w:hAnsiTheme="minorHAnsi" w:cstheme="minorHAnsi"/>
        </w:rPr>
        <w:t>extensible</w:t>
      </w:r>
      <w:proofErr w:type="gramEnd"/>
      <w:r w:rsidR="003C1538">
        <w:rPr>
          <w:rFonts w:asciiTheme="minorHAnsi" w:hAnsiTheme="minorHAnsi" w:cstheme="minorHAnsi"/>
        </w:rPr>
        <w:t xml:space="preserve"> but they avoid “generic” XML or JSON parsing pitfalls</w:t>
      </w:r>
      <w:r>
        <w:rPr>
          <w:rFonts w:asciiTheme="minorHAnsi" w:hAnsiTheme="minorHAnsi" w:cstheme="minorHAnsi"/>
        </w:rPr>
        <w:t>.  Input arguments to functions come first (left to right) in function definitions and are often const; output arguments come last and are pointers.  Generally, output data structures are created by the caller.  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1925F4">
        <w:rPr>
          <w:rFonts w:ascii="Courier New" w:hAnsi="Courier New" w:cs="Courier New"/>
          <w:sz w:val="22"/>
          <w:szCs w:val="22"/>
        </w:rPr>
        <w:t>certifier</w:t>
      </w:r>
      <w:r w:rsidRPr="00F26FD1">
        <w:rPr>
          <w:rFonts w:ascii="Courier New" w:hAnsi="Courier New" w:cs="Courier New"/>
        </w:rPr>
        <w:t>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This is a very useful function which retrieve the unforgeable peer identity (usually a measurement) for the authenticated peer on the </w:t>
      </w:r>
      <w:r w:rsidR="00672574">
        <w:rPr>
          <w:rFonts w:asciiTheme="minorHAnsi" w:eastAsiaTheme="minorEastAsia" w:hAnsiTheme="minorHAnsi" w:cstheme="minorHAnsi"/>
          <w:color w:val="000000"/>
          <w:sz w:val="22"/>
          <w:szCs w:val="22"/>
        </w:rPr>
        <w:lastRenderedPageBreak/>
        <w:t>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1925F4">
        <w:rPr>
          <w:rFonts w:ascii="Courier New" w:hAnsi="Courier New" w:cs="Courier New"/>
          <w:sz w:val="22"/>
          <w:szCs w:val="22"/>
        </w:rPr>
        <w:t>certifier</w:t>
      </w:r>
      <w:r w:rsidRPr="002B64A4">
        <w:rPr>
          <w:rFonts w:ascii="Courier New" w:hAnsi="Courier New" w:cs="Courier New"/>
        </w:rPr>
        <w:t>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lastRenderedPageBreak/>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lastRenderedPageBreak/>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048D0756"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21234811" w:rsidR="00EB26BA" w:rsidRDefault="00CB04FB" w:rsidP="00CB04FB">
      <w:pPr>
        <w:rPr>
          <w:rFonts w:asciiTheme="minorHAnsi" w:hAnsiTheme="minorHAnsi" w:cstheme="minorHAnsi"/>
        </w:rPr>
      </w:pPr>
      <w:r>
        <w:rPr>
          <w:rFonts w:asciiTheme="minorHAnsi" w:hAnsiTheme="minorHAnsi" w:cstheme="minorHAnsi"/>
        </w:rPr>
        <w:t xml:space="preserve">We implement the simple example in each </w:t>
      </w:r>
      <w:r w:rsidR="001925F4">
        <w:rPr>
          <w:rFonts w:asciiTheme="minorHAnsi" w:hAnsiTheme="minorHAnsi" w:cstheme="minorHAnsi"/>
        </w:rPr>
        <w:t xml:space="preserve">platform </w:t>
      </w:r>
      <w:r>
        <w:rPr>
          <w:rFonts w:asciiTheme="minorHAnsi" w:hAnsiTheme="minorHAnsi" w:cstheme="minorHAnsi"/>
        </w:rPr>
        <w:t>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20ED38EB"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 xml:space="preserve">rather than linking the certifier </w:t>
      </w:r>
      <w:r w:rsidR="001925F4">
        <w:rPr>
          <w:rFonts w:asciiTheme="minorHAnsi" w:hAnsiTheme="minorHAnsi" w:cstheme="minorHAnsi"/>
        </w:rPr>
        <w:lastRenderedPageBreak/>
        <w:t>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9303AE">
        <w:rPr>
          <w:rFonts w:ascii="Courier New" w:hAnsi="Courier New" w:cs="Courier New"/>
          <w:sz w:val="22"/>
          <w:szCs w:val="22"/>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0917D7BD" w:rsidR="0031737F" w:rsidRDefault="0031737F" w:rsidP="00E33871">
      <w:pPr>
        <w:rPr>
          <w:rFonts w:asciiTheme="minorHAnsi" w:hAnsiTheme="minorHAnsi" w:cstheme="minorHAnsi"/>
        </w:rPr>
      </w:pPr>
      <w:r>
        <w:rPr>
          <w:rFonts w:asciiTheme="minorHAnsi" w:hAnsiTheme="minorHAnsi" w:cstheme="minorHAnsi"/>
        </w:rPr>
        <w:t>Since the instructions were 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31737F">
        <w:rPr>
          <w:rFonts w:ascii="Courier New" w:hAnsi="Courier New" w:cs="Courier New"/>
        </w:rPr>
        <w:t>sample</w:t>
      </w:r>
      <w:r w:rsidRPr="001925F4">
        <w:rPr>
          <w:rFonts w:ascii="Courier New" w:hAnsi="Courier New" w:cs="Courier New"/>
          <w:sz w:val="22"/>
          <w:szCs w:val="22"/>
        </w:rPr>
        <w:t>_apps</w:t>
      </w:r>
      <w:proofErr w:type="spellEnd"/>
      <w:r w:rsidRPr="001925F4">
        <w:rPr>
          <w:rFonts w:ascii="Courier New" w:hAnsi="Courier New" w:cs="Courier New"/>
          <w:sz w:val="22"/>
          <w:szCs w:val="22"/>
        </w:rPr>
        <w:t>/run_example.sh</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lastRenderedPageBreak/>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6A383455"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1925F4">
        <w:rPr>
          <w:rFonts w:ascii="Courier New" w:eastAsiaTheme="minorEastAsia" w:hAnsi="Courier New" w:cs="Courier New"/>
          <w:color w:val="000000"/>
          <w:sz w:val="22"/>
          <w:szCs w:val="22"/>
        </w:rPr>
        <w:t>app_trust_data</w:t>
      </w:r>
      <w:proofErr w:type="spellEnd"/>
      <w:r w:rsidRPr="001925F4">
        <w:rPr>
          <w:rFonts w:ascii="Courier New" w:eastAsiaTheme="minorEastAsia" w:hAnsi="Courier New" w:cs="Courier New"/>
          <w:color w:val="000000"/>
          <w:sz w:val="22"/>
          <w:szCs w:val="22"/>
        </w:rPr>
        <w:t xml:space="preserve"> = new </w:t>
      </w:r>
      <w:proofErr w:type="spellStart"/>
      <w:r w:rsidRPr="001925F4">
        <w:rPr>
          <w:rFonts w:ascii="Courier New" w:eastAsiaTheme="minorEastAsia" w:hAnsi="Courier New" w:cs="Courier New"/>
          <w:color w:val="000000"/>
          <w:sz w:val="22"/>
          <w:szCs w:val="22"/>
        </w:rPr>
        <w:t>cc_trust_</w:t>
      </w:r>
      <w:proofErr w:type="gramStart"/>
      <w:r w:rsidRPr="001925F4">
        <w:rPr>
          <w:rFonts w:ascii="Courier New" w:eastAsiaTheme="minorEastAsia" w:hAnsi="Courier New" w:cs="Courier New"/>
          <w:color w:val="000000"/>
          <w:sz w:val="22"/>
          <w:szCs w:val="22"/>
        </w:rPr>
        <w:t>data</w:t>
      </w:r>
      <w:proofErr w:type="spellEnd"/>
      <w:r w:rsidRPr="001925F4">
        <w:rPr>
          <w:rFonts w:ascii="Courier New" w:eastAsiaTheme="minorEastAsia" w:hAnsi="Courier New" w:cs="Courier New"/>
          <w:color w:val="000000"/>
          <w:sz w:val="22"/>
          <w:szCs w:val="22"/>
        </w:rPr>
        <w:t>(</w:t>
      </w:r>
      <w:proofErr w:type="spellStart"/>
      <w:proofErr w:type="gramEnd"/>
      <w:r w:rsidRPr="001925F4">
        <w:rPr>
          <w:rFonts w:ascii="Courier New" w:eastAsiaTheme="minorEastAsia" w:hAnsi="Courier New" w:cs="Courier New"/>
          <w:color w:val="000000"/>
          <w:sz w:val="22"/>
          <w:szCs w:val="22"/>
        </w:rPr>
        <w:t>enclave_type</w:t>
      </w:r>
      <w:proofErr w:type="spellEnd"/>
      <w:r w:rsidRPr="001925F4">
        <w:rPr>
          <w:rFonts w:ascii="Courier New" w:eastAsiaTheme="minorEastAsia" w:hAnsi="Courier New" w:cs="Courier New"/>
          <w:color w:val="000000"/>
          <w:sz w:val="22"/>
          <w:szCs w:val="22"/>
        </w:rPr>
        <w:t xml:space="preserve">, purpose, </w:t>
      </w:r>
      <w:proofErr w:type="spellStart"/>
      <w:r w:rsidRPr="001925F4">
        <w:rPr>
          <w:rFonts w:ascii="Courier New" w:eastAsiaTheme="minorEastAsia" w:hAnsi="Courier New" w:cs="Courier New"/>
          <w:color w:val="000000"/>
          <w:sz w:val="22"/>
          <w:szCs w:val="22"/>
        </w:rPr>
        <w:t>store_file</w:t>
      </w:r>
      <w:proofErr w:type="spellEnd"/>
      <w:r w:rsidRPr="001925F4">
        <w:rPr>
          <w:rFonts w:ascii="Courier New" w:eastAsiaTheme="minorEastAsia" w:hAnsi="Courier New" w:cs="Courier New"/>
          <w:color w:val="000000"/>
          <w:sz w:val="22"/>
          <w:szCs w:val="22"/>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1925F4">
        <w:rPr>
          <w:rFonts w:asciiTheme="minorHAnsi" w:hAnsiTheme="minorHAnsi" w:cstheme="minorHAnsi"/>
        </w:rPr>
        <w:t>run_me_as_server</w:t>
      </w:r>
      <w:proofErr w:type="spellEnd"/>
      <w:r w:rsidR="002F6741" w:rsidRPr="001925F4">
        <w:rPr>
          <w:rFonts w:asciiTheme="minorHAnsi" w:hAnsiTheme="minorHAnsi" w:cstheme="minorHAnsi"/>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proofErr w:type="spellStart"/>
      <w:r w:rsidRPr="00883354">
        <w:rPr>
          <w:rFonts w:asciiTheme="minorHAnsi" w:hAnsiTheme="minorHAnsi" w:cstheme="minorHAnsi"/>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w:t>
      </w:r>
      <w:r w:rsidR="00DB4B8E">
        <w:rPr>
          <w:rFonts w:asciiTheme="minorHAnsi" w:hAnsiTheme="minorHAnsi" w:cstheme="minorHAnsi"/>
        </w:rPr>
        <w:lastRenderedPageBreak/>
        <w:t>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28757E38"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D03E02">
        <w:rPr>
          <w:rFonts w:ascii="Courier New" w:hAnsi="Courier New" w:cs="Courier New"/>
          <w:sz w:val="22"/>
          <w:szCs w:val="22"/>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application.</w:t>
      </w: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7F95" w14:textId="77777777" w:rsidR="00232C64" w:rsidRDefault="00232C64" w:rsidP="00205A8A">
      <w:r>
        <w:separator/>
      </w:r>
    </w:p>
  </w:endnote>
  <w:endnote w:type="continuationSeparator" w:id="0">
    <w:p w14:paraId="274343B1" w14:textId="77777777" w:rsidR="00232C64" w:rsidRDefault="00232C64"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DD42" w14:textId="77777777" w:rsidR="00232C64" w:rsidRDefault="00232C64" w:rsidP="00205A8A">
      <w:r>
        <w:separator/>
      </w:r>
    </w:p>
  </w:footnote>
  <w:footnote w:type="continuationSeparator" w:id="0">
    <w:p w14:paraId="1D74FFB2" w14:textId="77777777" w:rsidR="00232C64" w:rsidRDefault="00232C64"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376B"/>
    <w:rsid w:val="00672574"/>
    <w:rsid w:val="0068270A"/>
    <w:rsid w:val="00692E42"/>
    <w:rsid w:val="006B04CA"/>
    <w:rsid w:val="006E49B9"/>
    <w:rsid w:val="007235A2"/>
    <w:rsid w:val="007279A2"/>
    <w:rsid w:val="00775FC1"/>
    <w:rsid w:val="00791652"/>
    <w:rsid w:val="007974D6"/>
    <w:rsid w:val="007A6670"/>
    <w:rsid w:val="007B5AF9"/>
    <w:rsid w:val="007C41DB"/>
    <w:rsid w:val="007D5B07"/>
    <w:rsid w:val="007F7A49"/>
    <w:rsid w:val="00812B48"/>
    <w:rsid w:val="008345CA"/>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C2FC6"/>
    <w:rsid w:val="00AD7471"/>
    <w:rsid w:val="00AF7BB7"/>
    <w:rsid w:val="00B02556"/>
    <w:rsid w:val="00B22569"/>
    <w:rsid w:val="00B31BE1"/>
    <w:rsid w:val="00B412A0"/>
    <w:rsid w:val="00B647D3"/>
    <w:rsid w:val="00B73C6D"/>
    <w:rsid w:val="00BE00B4"/>
    <w:rsid w:val="00BE4FCA"/>
    <w:rsid w:val="00BE7DFF"/>
    <w:rsid w:val="00BF4D6C"/>
    <w:rsid w:val="00C07569"/>
    <w:rsid w:val="00C105BA"/>
    <w:rsid w:val="00C21595"/>
    <w:rsid w:val="00C53F7B"/>
    <w:rsid w:val="00C57D3D"/>
    <w:rsid w:val="00C678DB"/>
    <w:rsid w:val="00C67904"/>
    <w:rsid w:val="00C97B41"/>
    <w:rsid w:val="00CB04FB"/>
    <w:rsid w:val="00CB1C0F"/>
    <w:rsid w:val="00CC0177"/>
    <w:rsid w:val="00CE776C"/>
    <w:rsid w:val="00CF29DC"/>
    <w:rsid w:val="00D03E02"/>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21</Pages>
  <Words>7396</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25</cp:revision>
  <cp:lastPrinted>2023-04-13T18:13:00Z</cp:lastPrinted>
  <dcterms:created xsi:type="dcterms:W3CDTF">2023-04-13T18:13:00Z</dcterms:created>
  <dcterms:modified xsi:type="dcterms:W3CDTF">2023-05-27T20:59:00Z</dcterms:modified>
</cp:coreProperties>
</file>