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9A1B1" w14:textId="71510B37" w:rsidR="008E1162" w:rsidRDefault="008E1162" w:rsidP="008E1162">
      <w:pPr>
        <w:pStyle w:val="Heading1"/>
      </w:pPr>
      <w:r>
        <w:t>TPM for CF – Nutshell</w:t>
      </w:r>
    </w:p>
    <w:p w14:paraId="3BCF3680" w14:textId="18824207" w:rsidR="008E1162" w:rsidRDefault="008E1162">
      <w:r>
        <w:t xml:space="preserve">This is guide </w:t>
      </w:r>
      <w:r w:rsidR="008E7A88">
        <w:t xml:space="preserve">for </w:t>
      </w:r>
      <w:r>
        <w:t>what it will take to add TPM2 support to the Certifier Framework.  If we decide to proceed</w:t>
      </w:r>
      <w:r w:rsidR="00C81869">
        <w:t>,</w:t>
      </w:r>
      <w:r>
        <w:t xml:space="preserve"> I’ll write more.</w:t>
      </w:r>
    </w:p>
    <w:p w14:paraId="08D20F61" w14:textId="59C15EB6" w:rsidR="006B09E7" w:rsidRDefault="006B09E7">
      <w:r>
        <w:t xml:space="preserve">TPM specifications are </w:t>
      </w:r>
      <w:hyperlink r:id="rId5" w:history="1">
        <w:r w:rsidRPr="00FE28BC">
          <w:rPr>
            <w:rStyle w:val="Hyperlink"/>
          </w:rPr>
          <w:t>here</w:t>
        </w:r>
      </w:hyperlink>
      <w:r>
        <w:t>.</w:t>
      </w:r>
    </w:p>
    <w:p w14:paraId="28FECCD2" w14:textId="0165007B" w:rsidR="003B030F" w:rsidRDefault="003B030F" w:rsidP="003B030F">
      <w:pPr>
        <w:pStyle w:val="Heading2"/>
      </w:pPr>
      <w:r>
        <w:t>Physical, Virtual or Emulated TPM</w:t>
      </w:r>
    </w:p>
    <w:p w14:paraId="09CC65AB" w14:textId="3005C941" w:rsidR="003B030F" w:rsidRDefault="00EB28D2">
      <w:r>
        <w:t>If the host booted on a physical machine with a TPM or a virtual machine with a virtual TPM, then TPM functionality is exposed through /dev/</w:t>
      </w:r>
      <w:r w:rsidR="00FF7A27">
        <w:t>tpm0 or /dev/tpmrm0</w:t>
      </w:r>
      <w:r w:rsidR="00D6105F">
        <w:t>.</w:t>
      </w:r>
    </w:p>
    <w:p w14:paraId="5F660169" w14:textId="6B0B3D06" w:rsidR="00D6105F" w:rsidRDefault="00D6105F" w:rsidP="00635FD6">
      <w:pPr>
        <w:ind w:left="720"/>
      </w:pPr>
      <w:r>
        <w:t xml:space="preserve">Note that </w:t>
      </w:r>
      <w:r w:rsidR="00E94052">
        <w:t>KVM, Hyper-V, and AWS/Azure VMs have (or are easy to configure to have) TPMs</w:t>
      </w:r>
    </w:p>
    <w:p w14:paraId="3D4B2436" w14:textId="549ACDC8" w:rsidR="00D6105F" w:rsidRDefault="00D6105F">
      <w:r>
        <w:t xml:space="preserve">If no physical or virtual TPM </w:t>
      </w:r>
      <w:r w:rsidR="00635FD6">
        <w:t>are present, then several software TPM simulators exist.</w:t>
      </w:r>
      <w:r w:rsidR="00592A4E">
        <w:t xml:space="preserve">  These are application programs that expose a socket interface</w:t>
      </w:r>
      <w:r w:rsidR="00930F3F">
        <w:t>.</w:t>
      </w:r>
      <w:r w:rsidR="00996E8E">
        <w:t xml:space="preserve">  </w:t>
      </w:r>
      <w:proofErr w:type="gramStart"/>
      <w:r w:rsidR="00996E8E">
        <w:t>All of</w:t>
      </w:r>
      <w:proofErr w:type="gramEnd"/>
      <w:r w:rsidR="00996E8E">
        <w:t xml:space="preserve"> the commonly used application libraries ca</w:t>
      </w:r>
      <w:r w:rsidR="00C81869">
        <w:t>n use a simulator rather than a real TPM</w:t>
      </w:r>
      <w:r w:rsidR="00966461">
        <w:t xml:space="preserve">.  </w:t>
      </w:r>
      <w:r w:rsidR="00C81869">
        <w:t xml:space="preserve"> </w:t>
      </w:r>
    </w:p>
    <w:p w14:paraId="2E5111EE" w14:textId="799505CD" w:rsidR="00930F3F" w:rsidRDefault="00930F3F" w:rsidP="00930F3F">
      <w:pPr>
        <w:pStyle w:val="Heading2"/>
      </w:pPr>
      <w:r>
        <w:t>Interacting with the TPM</w:t>
      </w:r>
    </w:p>
    <w:p w14:paraId="46DDF139" w14:textId="54477233" w:rsidR="001A3BBA" w:rsidRDefault="00172784">
      <w:r>
        <w:t xml:space="preserve">Application programs typically use a “TPM software stack” (TSS) to interact with the TPM.  Probably the best choice is </w:t>
      </w:r>
      <w:r w:rsidR="00C663B9">
        <w:t xml:space="preserve">the </w:t>
      </w:r>
      <w:r w:rsidR="00F87E4D">
        <w:t xml:space="preserve">System API (SAPI or SYS) layer of the </w:t>
      </w:r>
      <w:hyperlink r:id="rId6" w:history="1">
        <w:r w:rsidR="00F87E4D" w:rsidRPr="001A3BBA">
          <w:rPr>
            <w:rStyle w:val="Hyperlink"/>
          </w:rPr>
          <w:t>standardized TSS</w:t>
        </w:r>
      </w:hyperlink>
      <w:r w:rsidR="00F87E4D">
        <w:t>.</w:t>
      </w:r>
      <w:r w:rsidR="00835054">
        <w:t xml:space="preserve">  This is a standard c-library </w:t>
      </w:r>
      <w:r w:rsidR="005D2D05">
        <w:t xml:space="preserve">with functions that map (essentially) 1:1 to underlying TPM functions.  The </w:t>
      </w:r>
      <w:r w:rsidR="00B1547F">
        <w:t xml:space="preserve">libraries can connect to simulated or “real” TPMs without change to the </w:t>
      </w:r>
      <w:r w:rsidR="00B871B7">
        <w:t>application layer.</w:t>
      </w:r>
    </w:p>
    <w:p w14:paraId="767D4491" w14:textId="4279C4CE" w:rsidR="00B871B7" w:rsidRDefault="00B871B7">
      <w:r>
        <w:t xml:space="preserve">An alternative is </w:t>
      </w:r>
      <w:r w:rsidR="00246A8F">
        <w:t xml:space="preserve">IBMs </w:t>
      </w:r>
      <w:hyperlink r:id="rId7" w:history="1">
        <w:r w:rsidR="00324824" w:rsidRPr="00324824">
          <w:rPr>
            <w:rStyle w:val="Hyperlink"/>
          </w:rPr>
          <w:t>tpm2-tools</w:t>
        </w:r>
      </w:hyperlink>
      <w:r w:rsidR="00324824">
        <w:t xml:space="preserve">.   This is a set of command line utilities for interacting with </w:t>
      </w:r>
      <w:proofErr w:type="gramStart"/>
      <w:r w:rsidR="00324824">
        <w:t>the TPM</w:t>
      </w:r>
      <w:proofErr w:type="gramEnd"/>
      <w:r w:rsidR="00324824">
        <w:t>.</w:t>
      </w:r>
    </w:p>
    <w:p w14:paraId="495729A6" w14:textId="394D9A3E" w:rsidR="00324824" w:rsidRDefault="004C3456">
      <w:r>
        <w:t xml:space="preserve">The TSS/SAPI approach is probably best.  For development, we will spin up a </w:t>
      </w:r>
      <w:r w:rsidR="00F6218A">
        <w:t xml:space="preserve">software TPM and periodically check it works in a VM with a </w:t>
      </w:r>
      <w:r w:rsidR="00307657">
        <w:t>“real” (virtual) TPM.</w:t>
      </w:r>
    </w:p>
    <w:p w14:paraId="7F78F066" w14:textId="5F678B54" w:rsidR="0049717D" w:rsidRDefault="0049717D">
      <w:r>
        <w:t xml:space="preserve">When we get close to starting </w:t>
      </w:r>
      <w:proofErr w:type="gramStart"/>
      <w:r>
        <w:t>work</w:t>
      </w:r>
      <w:proofErr w:type="gramEnd"/>
      <w:r>
        <w:t xml:space="preserve"> I’ll take a closer look and suggest a recipe.</w:t>
      </w:r>
    </w:p>
    <w:p w14:paraId="67CD9A19" w14:textId="70B5929F" w:rsidR="00307657" w:rsidRDefault="00307657" w:rsidP="00307657">
      <w:pPr>
        <w:pStyle w:val="Heading2"/>
      </w:pPr>
      <w:r>
        <w:t>Required Functionality</w:t>
      </w:r>
    </w:p>
    <w:p w14:paraId="2F6EC2F7" w14:textId="6CE69B4B" w:rsidR="003C6824" w:rsidRPr="003C6824" w:rsidRDefault="003C6824">
      <w:pPr>
        <w:rPr>
          <w:b/>
          <w:bCs/>
        </w:rPr>
      </w:pPr>
      <w:r w:rsidRPr="003C6824">
        <w:rPr>
          <w:b/>
          <w:bCs/>
        </w:rPr>
        <w:t>OS Measurements</w:t>
      </w:r>
    </w:p>
    <w:p w14:paraId="647849EE" w14:textId="411AD5F8" w:rsidR="00307657" w:rsidRDefault="0068183D">
      <w:r>
        <w:t xml:space="preserve">OS measurements are accumulated in a set of TPM internal hash-sized registers called PCRs or Platform Configuration Registers.  </w:t>
      </w:r>
      <w:r w:rsidR="00E509FE">
        <w:t>Roughly speaking, these registers are set to 0x00</w:t>
      </w:r>
      <w:r w:rsidR="007323B2">
        <w:t>000</w:t>
      </w:r>
      <w:r w:rsidR="00E509FE">
        <w:t xml:space="preserve">… at boot time and are hash-extended </w:t>
      </w:r>
      <w:r w:rsidR="00ED2FB7">
        <w:t xml:space="preserve">by </w:t>
      </w:r>
      <w:r w:rsidR="008457DC">
        <w:t>components in the boot-chain.</w:t>
      </w:r>
      <w:r w:rsidR="00014F16">
        <w:t xml:space="preserve">  By the time non-OS application code runs, the TPM contents can be expected to be stable </w:t>
      </w:r>
      <w:r w:rsidR="00597149">
        <w:t xml:space="preserve">(unless </w:t>
      </w:r>
      <w:r w:rsidR="00597149">
        <w:lastRenderedPageBreak/>
        <w:t>privileged application code explicitly extends a register or provokes the kernel to do the same.</w:t>
      </w:r>
      <w:r w:rsidR="00A13B49">
        <w:t>)</w:t>
      </w:r>
    </w:p>
    <w:p w14:paraId="7FFBBBED" w14:textId="3941E472" w:rsidR="005F4F34" w:rsidRDefault="005F4F34">
      <w:r>
        <w:t xml:space="preserve">The TPM has ~24 PCR registers.  Depending on the device and </w:t>
      </w:r>
      <w:r w:rsidR="00587308">
        <w:t xml:space="preserve">configuration, </w:t>
      </w:r>
      <w:r w:rsidR="00F576F6">
        <w:t xml:space="preserve">the first </w:t>
      </w:r>
      <w:r w:rsidR="00587308">
        <w:t xml:space="preserve">8 or 9 collectively </w:t>
      </w:r>
      <w:r w:rsidR="003D1E15">
        <w:t>reflect the booting firmware, OS, and OS-configuration.  In most settings that we care about</w:t>
      </w:r>
      <w:r w:rsidR="00001ADF">
        <w:t>, we expect these PCR values to be the same on every boot (until we explicitly change something.)</w:t>
      </w:r>
    </w:p>
    <w:p w14:paraId="7012A245" w14:textId="5F74D374" w:rsidR="008457DC" w:rsidRDefault="006216EE">
      <w:pPr>
        <w:rPr>
          <w:rFonts w:eastAsiaTheme="minorEastAsia"/>
        </w:rPr>
      </w:pPr>
      <w:r>
        <w:t xml:space="preserve">All functions that use PCRs (quoting, sealing, etc. – discussed next) </w:t>
      </w:r>
      <w:r w:rsidR="00861683">
        <w:t>take a parameter that specifies the PCRs of interest.</w:t>
      </w:r>
      <w:r w:rsidR="00641D0B">
        <w:t xml:space="preserve">  We should make the TPM selection (and their values) </w:t>
      </w:r>
      <w:r w:rsidR="00E5695B">
        <w:t xml:space="preserve">part of the CF policy.  E.g., an IoT device might capture all measurements </w:t>
      </w:r>
      <m:oMath>
        <m:r>
          <w:rPr>
            <w:rFonts w:ascii="Cambria Math" w:hAnsi="Cambria Math"/>
          </w:rPr>
          <m:t>PC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436215">
        <w:rPr>
          <w:rFonts w:eastAsiaTheme="minorEastAsia"/>
        </w:rPr>
        <w:t xml:space="preserve"> and for development we might choose </w:t>
      </w:r>
      <m:oMath>
        <m:r>
          <w:rPr>
            <w:rFonts w:ascii="Cambria Math" w:eastAsiaTheme="minorEastAsia" w:hAnsi="Cambria Math"/>
          </w:rPr>
          <m:t>PC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15</m:t>
            </m:r>
          </m:sub>
        </m:sSub>
      </m:oMath>
      <w:r w:rsidR="00436215">
        <w:rPr>
          <w:rFonts w:eastAsiaTheme="minorEastAsia"/>
        </w:rPr>
        <w:t>, which can be reset by software.</w:t>
      </w:r>
    </w:p>
    <w:p w14:paraId="020B8B1D" w14:textId="0DE48C03" w:rsidR="00517B3A" w:rsidRDefault="00517B3A">
      <w:pPr>
        <w:rPr>
          <w:rFonts w:eastAsiaTheme="minorEastAsia"/>
        </w:rPr>
      </w:pPr>
      <w:r>
        <w:rPr>
          <w:rFonts w:eastAsiaTheme="minorEastAsia"/>
        </w:rPr>
        <w:t>We’ll need to read PCR-values:</w:t>
      </w:r>
      <w:r w:rsidR="0078120A">
        <w:rPr>
          <w:rFonts w:eastAsiaTheme="minorEastAsia"/>
        </w:rPr>
        <w:t xml:space="preserve"> </w:t>
      </w:r>
      <w:r w:rsidR="0078120A" w:rsidRPr="0078120A">
        <w:rPr>
          <w:rFonts w:eastAsiaTheme="minorEastAsia"/>
        </w:rPr>
        <w:t>TSS2_RC Tss2_Sys_PCR_</w:t>
      </w:r>
      <w:proofErr w:type="gramStart"/>
      <w:r w:rsidR="0078120A" w:rsidRPr="0078120A">
        <w:rPr>
          <w:rFonts w:eastAsiaTheme="minorEastAsia"/>
        </w:rPr>
        <w:t>Read(</w:t>
      </w:r>
      <w:proofErr w:type="gramEnd"/>
      <w:r w:rsidR="0078120A">
        <w:rPr>
          <w:rFonts w:eastAsiaTheme="minorEastAsia"/>
        </w:rPr>
        <w:t>)</w:t>
      </w:r>
    </w:p>
    <w:p w14:paraId="70E542A7" w14:textId="07234DE9" w:rsidR="00517B3A" w:rsidRDefault="008263AB">
      <w:pPr>
        <w:rPr>
          <w:rFonts w:eastAsiaTheme="minorEastAsia"/>
        </w:rPr>
      </w:pPr>
      <w:r>
        <w:rPr>
          <w:rFonts w:eastAsiaTheme="minorEastAsia"/>
        </w:rPr>
        <w:t xml:space="preserve">And we might need to extend PCRs: </w:t>
      </w:r>
      <w:r w:rsidR="007F6FF8" w:rsidRPr="007F6FF8">
        <w:rPr>
          <w:rFonts w:eastAsiaTheme="minorEastAsia"/>
        </w:rPr>
        <w:t>TSS2_RC Tss2_Sys_PCR_</w:t>
      </w:r>
      <w:proofErr w:type="gramStart"/>
      <w:r w:rsidR="007F6FF8" w:rsidRPr="007F6FF8">
        <w:rPr>
          <w:rFonts w:eastAsiaTheme="minorEastAsia"/>
        </w:rPr>
        <w:t>Extend(</w:t>
      </w:r>
      <w:proofErr w:type="gramEnd"/>
      <w:r w:rsidR="007F6FF8">
        <w:rPr>
          <w:rFonts w:eastAsiaTheme="minorEastAsia"/>
        </w:rPr>
        <w:t>)</w:t>
      </w:r>
    </w:p>
    <w:p w14:paraId="390EA950" w14:textId="2B1A0449" w:rsidR="00CB478E" w:rsidRDefault="000E214D">
      <w:pPr>
        <w:rPr>
          <w:rFonts w:eastAsiaTheme="minorEastAsia"/>
        </w:rPr>
      </w:pPr>
      <w:r>
        <w:rPr>
          <w:rFonts w:eastAsiaTheme="minorEastAsia"/>
        </w:rPr>
        <w:t xml:space="preserve">PCRs just accumulate a hash value.  I think that for most or all of what we want to do, we will predict (or measure) desired target PCR values and </w:t>
      </w:r>
      <w:r w:rsidR="0025413A">
        <w:rPr>
          <w:rFonts w:eastAsiaTheme="minorEastAsia"/>
        </w:rPr>
        <w:t>simply check for equality.  However, Linux and BIOS also maintain a log of what was extended</w:t>
      </w:r>
      <w:r w:rsidR="00B80C42">
        <w:rPr>
          <w:rFonts w:eastAsiaTheme="minorEastAsia"/>
        </w:rPr>
        <w:t xml:space="preserve">, so if an unexpected PCR value is received, the log can be parsed to check if individual extend steps/values are compliant with a policy.  Hopefully, we </w:t>
      </w:r>
      <w:r w:rsidR="00766EE2">
        <w:rPr>
          <w:rFonts w:eastAsiaTheme="minorEastAsia"/>
        </w:rPr>
        <w:t>don’t need to do this: we will be booting a read-only image</w:t>
      </w:r>
      <w:r w:rsidR="00F1788C">
        <w:rPr>
          <w:rFonts w:eastAsiaTheme="minorEastAsia"/>
        </w:rPr>
        <w:t>.</w:t>
      </w:r>
    </w:p>
    <w:p w14:paraId="079C01E0" w14:textId="402964A8" w:rsidR="00D30CCA" w:rsidRDefault="00D30CCA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Keys</w:t>
      </w:r>
      <w:r w:rsidR="007F0171">
        <w:rPr>
          <w:rFonts w:eastAsiaTheme="minorEastAsia"/>
          <w:b/>
          <w:bCs/>
        </w:rPr>
        <w:t xml:space="preserve"> and Quoting</w:t>
      </w:r>
    </w:p>
    <w:p w14:paraId="184345A6" w14:textId="51459CE3" w:rsidR="007A6D37" w:rsidRDefault="000B1441">
      <w:pPr>
        <w:rPr>
          <w:rFonts w:eastAsiaTheme="minorEastAsia"/>
        </w:rPr>
      </w:pPr>
      <w:r>
        <w:rPr>
          <w:rFonts w:eastAsiaTheme="minorEastAsia"/>
        </w:rPr>
        <w:t>TPMs come with a</w:t>
      </w:r>
      <w:r w:rsidR="00635BDB">
        <w:rPr>
          <w:rFonts w:eastAsiaTheme="minorEastAsia"/>
        </w:rPr>
        <w:t xml:space="preserve"> manufacturer certified </w:t>
      </w:r>
      <w:r w:rsidR="00635BDB">
        <w:rPr>
          <w:rFonts w:eastAsiaTheme="minorEastAsia"/>
          <w:i/>
          <w:iCs/>
        </w:rPr>
        <w:t xml:space="preserve">decryption </w:t>
      </w:r>
      <w:r w:rsidR="00635BDB">
        <w:rPr>
          <w:rFonts w:eastAsiaTheme="minorEastAsia"/>
        </w:rPr>
        <w:t>key</w:t>
      </w:r>
      <w:r w:rsidR="00975E00">
        <w:rPr>
          <w:rFonts w:eastAsiaTheme="minorEastAsia"/>
        </w:rPr>
        <w:t xml:space="preserve"> called the </w:t>
      </w:r>
      <w:r w:rsidR="00975E00" w:rsidRPr="00975E00">
        <w:rPr>
          <w:rFonts w:eastAsiaTheme="minorEastAsia"/>
          <w:i/>
          <w:iCs/>
        </w:rPr>
        <w:t>Endorsement Key</w:t>
      </w:r>
      <w:r w:rsidR="00975E00">
        <w:rPr>
          <w:rFonts w:eastAsiaTheme="minorEastAsia"/>
        </w:rPr>
        <w:t xml:space="preserve"> or EK.  This is </w:t>
      </w:r>
      <w:r w:rsidR="00107875">
        <w:rPr>
          <w:rFonts w:eastAsiaTheme="minorEastAsia"/>
        </w:rPr>
        <w:t xml:space="preserve">a TPM-restricted key, which means that </w:t>
      </w:r>
      <w:r w:rsidR="00687DBC">
        <w:rPr>
          <w:rFonts w:eastAsiaTheme="minorEastAsia"/>
        </w:rPr>
        <w:t>it checks internal TPM state before the decrypted data is released</w:t>
      </w:r>
      <w:r w:rsidR="00AD0A1A">
        <w:rPr>
          <w:rFonts w:eastAsiaTheme="minorEastAsia"/>
        </w:rPr>
        <w:t xml:space="preserve">. </w:t>
      </w:r>
      <w:r w:rsidR="00F069FC">
        <w:rPr>
          <w:rFonts w:eastAsiaTheme="minorEastAsia"/>
        </w:rPr>
        <w:t xml:space="preserve"> </w:t>
      </w:r>
      <w:r w:rsidR="007A6D37">
        <w:rPr>
          <w:rFonts w:eastAsiaTheme="minorEastAsia"/>
        </w:rPr>
        <w:t xml:space="preserve">This operation </w:t>
      </w:r>
      <w:r w:rsidR="007A6D37" w:rsidRPr="007A6D37">
        <w:rPr>
          <w:rFonts w:eastAsiaTheme="minorEastAsia"/>
        </w:rPr>
        <w:t>TSS2_RC Tss2_Sys_</w:t>
      </w:r>
      <w:proofErr w:type="gramStart"/>
      <w:r w:rsidR="007A6D37" w:rsidRPr="007A6D37">
        <w:rPr>
          <w:rFonts w:eastAsiaTheme="minorEastAsia"/>
        </w:rPr>
        <w:t>ActivateCredential</w:t>
      </w:r>
      <w:r w:rsidR="007A6D37">
        <w:rPr>
          <w:rFonts w:eastAsiaTheme="minorEastAsia"/>
        </w:rPr>
        <w:t>(</w:t>
      </w:r>
      <w:proofErr w:type="gramEnd"/>
      <w:r w:rsidR="007A6D37">
        <w:rPr>
          <w:rFonts w:eastAsiaTheme="minorEastAsia"/>
        </w:rPr>
        <w:t>).</w:t>
      </w:r>
    </w:p>
    <w:p w14:paraId="0496ED2C" w14:textId="14C658A4" w:rsidR="00EF3A97" w:rsidRDefault="002835A3">
      <w:pPr>
        <w:rPr>
          <w:rFonts w:eastAsiaTheme="minorEastAsia"/>
        </w:rPr>
      </w:pPr>
      <w:r>
        <w:rPr>
          <w:rFonts w:eastAsiaTheme="minorEastAsia"/>
        </w:rPr>
        <w:t xml:space="preserve">The entity that creates the encrypted blob can set the </w:t>
      </w:r>
      <w:r w:rsidR="00F16BAE">
        <w:rPr>
          <w:rFonts w:eastAsiaTheme="minorEastAsia"/>
        </w:rPr>
        <w:t>decryption policy.  There are two obvious ways that we can use this to initialize tr</w:t>
      </w:r>
      <w:r w:rsidR="00095DE0">
        <w:rPr>
          <w:rFonts w:eastAsiaTheme="minorEastAsia"/>
        </w:rPr>
        <w:t>ust for the platform:</w:t>
      </w:r>
    </w:p>
    <w:p w14:paraId="263263A7" w14:textId="31A3F4F5" w:rsidR="00095DE0" w:rsidRDefault="00095DE0" w:rsidP="00095DE0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The policy server encrypts a random nonce and specifies PCRs and PCR values.  The recipient TPM will check that the PCR values are as </w:t>
      </w:r>
      <w:r w:rsidR="007D21CF">
        <w:rPr>
          <w:rFonts w:eastAsiaTheme="minorEastAsia"/>
        </w:rPr>
        <w:t xml:space="preserve">prescribed before releasing the secret </w:t>
      </w:r>
      <w:proofErr w:type="gramStart"/>
      <w:r w:rsidR="007D21CF">
        <w:rPr>
          <w:rFonts w:eastAsiaTheme="minorEastAsia"/>
        </w:rPr>
        <w:t>nonce</w:t>
      </w:r>
      <w:proofErr w:type="gramEnd"/>
      <w:r w:rsidR="007D21CF">
        <w:rPr>
          <w:rFonts w:eastAsiaTheme="minorEastAsia"/>
        </w:rPr>
        <w:t xml:space="preserve">.  We wrap this is a protocol to </w:t>
      </w:r>
      <w:r w:rsidR="000F5FAD">
        <w:rPr>
          <w:rFonts w:eastAsiaTheme="minorEastAsia"/>
        </w:rPr>
        <w:t>enroll an endpoint.</w:t>
      </w:r>
    </w:p>
    <w:p w14:paraId="661A0EE9" w14:textId="41A417A2" w:rsidR="000F5FAD" w:rsidRDefault="000F5FAD" w:rsidP="00095DE0">
      <w:pPr>
        <w:pStyle w:val="ListParagraph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We </w:t>
      </w:r>
      <w:r w:rsidR="00C54BEF">
        <w:rPr>
          <w:rFonts w:eastAsiaTheme="minorEastAsia"/>
        </w:rPr>
        <w:t xml:space="preserve">use </w:t>
      </w:r>
      <w:r w:rsidR="00703096">
        <w:rPr>
          <w:rFonts w:eastAsiaTheme="minorEastAsia"/>
        </w:rPr>
        <w:t>similar functions to have the policy server certify a TPM-resident key that can be used for the familiar “quoting” functionality (where the TPM signs a nonce and the current value of selected PCRs.)</w:t>
      </w:r>
    </w:p>
    <w:p w14:paraId="51B96C88" w14:textId="7804B129" w:rsidR="00703096" w:rsidRDefault="00492257" w:rsidP="00703096">
      <w:pPr>
        <w:rPr>
          <w:rFonts w:eastAsiaTheme="minorEastAsia"/>
        </w:rPr>
      </w:pPr>
      <w:r>
        <w:rPr>
          <w:rFonts w:eastAsiaTheme="minorEastAsia"/>
        </w:rPr>
        <w:t>Option (1) will be easiest if it fits in with the rest of the architecture.</w:t>
      </w:r>
    </w:p>
    <w:p w14:paraId="15ECBB75" w14:textId="796344CC" w:rsidR="00492257" w:rsidRDefault="00492257" w:rsidP="00703096">
      <w:pPr>
        <w:rPr>
          <w:rFonts w:eastAsiaTheme="minorEastAsia"/>
        </w:rPr>
      </w:pPr>
      <w:r>
        <w:rPr>
          <w:rFonts w:eastAsiaTheme="minorEastAsia"/>
        </w:rPr>
        <w:t>TPM manufacturers (including cloud operators) usually provide endorsement key certificates in NV storage.</w:t>
      </w:r>
      <w:r w:rsidR="00C36A2A">
        <w:rPr>
          <w:rFonts w:eastAsiaTheme="minorEastAsia"/>
        </w:rPr>
        <w:t xml:space="preserve">  These are standard x.509</w:t>
      </w:r>
      <w:r w:rsidR="00D42F42">
        <w:rPr>
          <w:rFonts w:eastAsiaTheme="minorEastAsia"/>
        </w:rPr>
        <w:t xml:space="preserve">/5280 </w:t>
      </w:r>
      <w:r w:rsidR="00550862">
        <w:rPr>
          <w:rFonts w:eastAsiaTheme="minorEastAsia"/>
        </w:rPr>
        <w:t xml:space="preserve">certs and chains (with some </w:t>
      </w:r>
      <w:r w:rsidR="00C477FC">
        <w:rPr>
          <w:rFonts w:eastAsiaTheme="minorEastAsia"/>
        </w:rPr>
        <w:t>attributes.)</w:t>
      </w:r>
    </w:p>
    <w:p w14:paraId="3DDB26C1" w14:textId="36AB2218" w:rsidR="00D30CCA" w:rsidRPr="00766F5E" w:rsidRDefault="00766F5E">
      <w:pPr>
        <w:rPr>
          <w:b/>
          <w:bCs/>
        </w:rPr>
      </w:pPr>
      <w:r w:rsidRPr="00766F5E">
        <w:rPr>
          <w:b/>
          <w:bCs/>
        </w:rPr>
        <w:lastRenderedPageBreak/>
        <w:t>Sealing and Unsealing</w:t>
      </w:r>
    </w:p>
    <w:p w14:paraId="03E9B6D7" w14:textId="49E9F6A8" w:rsidR="00766F5E" w:rsidRDefault="00766F5E">
      <w:r>
        <w:t xml:space="preserve">The TPM </w:t>
      </w:r>
      <w:r w:rsidR="005D1D13">
        <w:t>allows data to be sealed to PCR values (or other internal state</w:t>
      </w:r>
      <w:r w:rsidR="00E86788">
        <w:t>.)  The sealing policy language is rich</w:t>
      </w:r>
      <w:r w:rsidR="00AD278C">
        <w:t>, but I suspect we’ll just need the basic functions.</w:t>
      </w:r>
    </w:p>
    <w:p w14:paraId="6ACAE9D4" w14:textId="2033B9ED" w:rsidR="00AD278C" w:rsidRPr="00AD278C" w:rsidRDefault="00AD278C">
      <w:pPr>
        <w:rPr>
          <w:b/>
          <w:bCs/>
        </w:rPr>
      </w:pPr>
      <w:r w:rsidRPr="00AD278C">
        <w:rPr>
          <w:b/>
          <w:bCs/>
        </w:rPr>
        <w:t>Randomness</w:t>
      </w:r>
    </w:p>
    <w:p w14:paraId="24F91E72" w14:textId="29FBDAE5" w:rsidR="00AD278C" w:rsidRDefault="00EE4A6E">
      <w:r>
        <w:t>Easy.</w:t>
      </w:r>
    </w:p>
    <w:p w14:paraId="462087B3" w14:textId="59488D14" w:rsidR="008F7FCC" w:rsidRDefault="008F7FCC">
      <w:pPr>
        <w:rPr>
          <w:b/>
          <w:bCs/>
        </w:rPr>
      </w:pPr>
      <w:r w:rsidRPr="008F7FCC">
        <w:rPr>
          <w:b/>
          <w:bCs/>
        </w:rPr>
        <w:t>Support Functions</w:t>
      </w:r>
    </w:p>
    <w:p w14:paraId="28B374FD" w14:textId="6E6F2DD6" w:rsidR="00587EA1" w:rsidRDefault="00587EA1">
      <w:r>
        <w:t xml:space="preserve">Nearly all TPM functions require authorization.  </w:t>
      </w:r>
      <w:r w:rsidR="00E6243D">
        <w:t>PCR-checking requires a certain amount of ceremony to use the policy machinery.</w:t>
      </w:r>
      <w:r w:rsidR="0026473C">
        <w:t xml:space="preserve">  </w:t>
      </w:r>
    </w:p>
    <w:p w14:paraId="06912390" w14:textId="52C5B904" w:rsidR="0026473C" w:rsidRPr="00587EA1" w:rsidRDefault="00F20F71">
      <w:pPr>
        <w:rPr>
          <w:i/>
          <w:iCs/>
        </w:rPr>
      </w:pPr>
      <w:r>
        <w:t>Most TPM functions are accessible to unprivileged user-mode programs, but some require root/</w:t>
      </w:r>
      <w:proofErr w:type="spellStart"/>
      <w:r>
        <w:t>sudo</w:t>
      </w:r>
      <w:proofErr w:type="spellEnd"/>
      <w:r>
        <w:t>.  It’s possible that we’ll need to run CF as root to enroll.</w:t>
      </w:r>
    </w:p>
    <w:p w14:paraId="04911821" w14:textId="30C7D10F" w:rsidR="00EE4A6E" w:rsidRPr="00EE4A6E" w:rsidRDefault="00EE4A6E">
      <w:pPr>
        <w:rPr>
          <w:b/>
          <w:bCs/>
        </w:rPr>
      </w:pPr>
      <w:r w:rsidRPr="00EE4A6E">
        <w:rPr>
          <w:b/>
          <w:bCs/>
        </w:rPr>
        <w:t>Other stuff</w:t>
      </w:r>
    </w:p>
    <w:p w14:paraId="6329EEFD" w14:textId="1BCA84E8" w:rsidR="008F7FCC" w:rsidRDefault="008E7582">
      <w:r>
        <w:t xml:space="preserve">These capabilities go beyond the functions offered </w:t>
      </w:r>
      <w:r w:rsidR="009D7276">
        <w:t xml:space="preserve">by integrated enclave technologies (often because they require NV storage.)  But the TPM also has </w:t>
      </w:r>
      <w:r w:rsidR="008E67E1">
        <w:t xml:space="preserve">monotonic counters, clocks, signature validation, dictionary-attack-resistant password checking, </w:t>
      </w:r>
      <w:r w:rsidR="00024EFE">
        <w:t>generalized NV storage</w:t>
      </w:r>
      <w:r w:rsidR="00D60CC6">
        <w:t>…</w:t>
      </w:r>
    </w:p>
    <w:p w14:paraId="60879B4E" w14:textId="6FAEBBE0" w:rsidR="00D60CC6" w:rsidRDefault="00D60CC6" w:rsidP="00111173">
      <w:pPr>
        <w:pStyle w:val="Heading2"/>
      </w:pPr>
      <w:r>
        <w:t>Implications for CF Policy</w:t>
      </w:r>
    </w:p>
    <w:p w14:paraId="1929E712" w14:textId="350B5F8D" w:rsidR="00D60CC6" w:rsidRDefault="004170D8">
      <w:r>
        <w:t xml:space="preserve">Different platforms and devices will </w:t>
      </w:r>
      <w:r w:rsidR="00D062A2">
        <w:t xml:space="preserve">record security-critical measurements in different sets of PCRs.  </w:t>
      </w:r>
      <w:r w:rsidR="00E63A40">
        <w:t xml:space="preserve">Ideally, the CF policy would allow us to specify the PCR indices </w:t>
      </w:r>
      <w:r w:rsidR="002C335A">
        <w:t xml:space="preserve">that must be checked (at enrollment, and when unsealing.)  </w:t>
      </w:r>
    </w:p>
    <w:p w14:paraId="4B19E8B8" w14:textId="2BDCDBA8" w:rsidR="00CA0992" w:rsidRDefault="00CA0992">
      <w:r>
        <w:t xml:space="preserve">But after that, we will simply be checking that the (typically) sha256 hash of the selected register indices and values is </w:t>
      </w:r>
      <w:proofErr w:type="gramStart"/>
      <w:r>
        <w:t>as-expected</w:t>
      </w:r>
      <w:proofErr w:type="gramEnd"/>
      <w:r>
        <w:t>.</w:t>
      </w:r>
    </w:p>
    <w:p w14:paraId="0A5E137B" w14:textId="69151E92" w:rsidR="00C720E0" w:rsidRDefault="00C720E0" w:rsidP="00E4741F">
      <w:pPr>
        <w:pStyle w:val="Heading2"/>
      </w:pPr>
      <w:r>
        <w:t>Work Estimate</w:t>
      </w:r>
    </w:p>
    <w:p w14:paraId="1ED6E7B7" w14:textId="41B9481B" w:rsidR="00C720E0" w:rsidRDefault="000D2F9B">
      <w:r>
        <w:t>The work can be divided into:</w:t>
      </w:r>
    </w:p>
    <w:p w14:paraId="113B7036" w14:textId="7DBFE8F3" w:rsidR="000D2F9B" w:rsidRDefault="000D2F9B" w:rsidP="000D2F9B">
      <w:pPr>
        <w:pStyle w:val="ListParagraph"/>
        <w:numPr>
          <w:ilvl w:val="0"/>
          <w:numId w:val="3"/>
        </w:numPr>
      </w:pPr>
      <w:r>
        <w:t xml:space="preserve">Implementing the “CF HAL” functions on the TPM.  </w:t>
      </w:r>
      <w:r w:rsidR="00A87225">
        <w:t>This might take 3 to 10 days</w:t>
      </w:r>
      <w:r w:rsidR="00C913C7">
        <w:t>, including setting up a reproducible test environment.</w:t>
      </w:r>
      <w:r w:rsidR="005B2F74">
        <w:t xml:space="preserve">  Paul can do this.</w:t>
      </w:r>
    </w:p>
    <w:p w14:paraId="0B8F3D60" w14:textId="3810E731" w:rsidR="000B2F0F" w:rsidRDefault="000B2F0F" w:rsidP="000D2F9B">
      <w:pPr>
        <w:pStyle w:val="ListParagraph"/>
        <w:numPr>
          <w:ilvl w:val="0"/>
          <w:numId w:val="3"/>
        </w:numPr>
      </w:pPr>
      <w:r>
        <w:t>Getting this into the CF build (?)</w:t>
      </w:r>
    </w:p>
    <w:p w14:paraId="0EB53D96" w14:textId="39B78467" w:rsidR="00A87225" w:rsidRDefault="005B2F74" w:rsidP="000D2F9B">
      <w:pPr>
        <w:pStyle w:val="ListParagraph"/>
        <w:numPr>
          <w:ilvl w:val="0"/>
          <w:numId w:val="3"/>
        </w:numPr>
      </w:pPr>
      <w:r>
        <w:t>CF changes to understand TPM measurements and architecture.</w:t>
      </w:r>
      <w:r w:rsidR="008D63AF">
        <w:t xml:space="preserve"> (?)</w:t>
      </w:r>
    </w:p>
    <w:p w14:paraId="395AF3DC" w14:textId="380A9718" w:rsidR="005E5755" w:rsidRDefault="005E5755" w:rsidP="000D2F9B">
      <w:pPr>
        <w:pStyle w:val="ListParagraph"/>
        <w:numPr>
          <w:ilvl w:val="0"/>
          <w:numId w:val="3"/>
        </w:numPr>
      </w:pPr>
      <w:r>
        <w:t>Testing on simulators an</w:t>
      </w:r>
      <w:r w:rsidR="008D5AEC">
        <w:t>d real platforms – including AWS/Azure</w:t>
      </w:r>
      <w:r w:rsidR="008D63AF">
        <w:t>.  A few days.</w:t>
      </w:r>
    </w:p>
    <w:p w14:paraId="7DEAFDE2" w14:textId="77777777" w:rsidR="008D5AEC" w:rsidRDefault="008D5AEC" w:rsidP="008D5AEC"/>
    <w:sectPr w:rsidR="008D5A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10820"/>
    <w:multiLevelType w:val="hybridMultilevel"/>
    <w:tmpl w:val="4204FECA"/>
    <w:lvl w:ilvl="0" w:tplc="0E92321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9D02BC"/>
    <w:multiLevelType w:val="hybridMultilevel"/>
    <w:tmpl w:val="9C62C35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DB4676"/>
    <w:multiLevelType w:val="hybridMultilevel"/>
    <w:tmpl w:val="23ACC8A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3166999">
    <w:abstractNumId w:val="0"/>
  </w:num>
  <w:num w:numId="2" w16cid:durableId="1951232207">
    <w:abstractNumId w:val="2"/>
  </w:num>
  <w:num w:numId="3" w16cid:durableId="8231615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162"/>
    <w:rsid w:val="00001ADF"/>
    <w:rsid w:val="00014F16"/>
    <w:rsid w:val="00024EFE"/>
    <w:rsid w:val="00056DC7"/>
    <w:rsid w:val="00095DE0"/>
    <w:rsid w:val="000B1441"/>
    <w:rsid w:val="000B2F0F"/>
    <w:rsid w:val="000D2F9B"/>
    <w:rsid w:val="000E214D"/>
    <w:rsid w:val="000F5FAD"/>
    <w:rsid w:val="00107875"/>
    <w:rsid w:val="00111173"/>
    <w:rsid w:val="00172784"/>
    <w:rsid w:val="001A3BBA"/>
    <w:rsid w:val="001D729D"/>
    <w:rsid w:val="00246A8F"/>
    <w:rsid w:val="0025413A"/>
    <w:rsid w:val="0026473C"/>
    <w:rsid w:val="002835A3"/>
    <w:rsid w:val="002A5A88"/>
    <w:rsid w:val="002A6CC0"/>
    <w:rsid w:val="002C335A"/>
    <w:rsid w:val="00307657"/>
    <w:rsid w:val="00324824"/>
    <w:rsid w:val="003B030F"/>
    <w:rsid w:val="003C6824"/>
    <w:rsid w:val="003D1E15"/>
    <w:rsid w:val="004170D8"/>
    <w:rsid w:val="00436215"/>
    <w:rsid w:val="00492257"/>
    <w:rsid w:val="0049717D"/>
    <w:rsid w:val="004A6674"/>
    <w:rsid w:val="004B2022"/>
    <w:rsid w:val="004C3456"/>
    <w:rsid w:val="00517B3A"/>
    <w:rsid w:val="00550862"/>
    <w:rsid w:val="00587308"/>
    <w:rsid w:val="00587EA1"/>
    <w:rsid w:val="00592A4E"/>
    <w:rsid w:val="00597149"/>
    <w:rsid w:val="005B2AEC"/>
    <w:rsid w:val="005B2F74"/>
    <w:rsid w:val="005D1D13"/>
    <w:rsid w:val="005D2D05"/>
    <w:rsid w:val="005E5755"/>
    <w:rsid w:val="005F4F34"/>
    <w:rsid w:val="006216EE"/>
    <w:rsid w:val="00635BDB"/>
    <w:rsid w:val="00635FD6"/>
    <w:rsid w:val="00641D0B"/>
    <w:rsid w:val="00663921"/>
    <w:rsid w:val="0068183D"/>
    <w:rsid w:val="00687DBC"/>
    <w:rsid w:val="006B09E7"/>
    <w:rsid w:val="006F511A"/>
    <w:rsid w:val="00703096"/>
    <w:rsid w:val="007323B2"/>
    <w:rsid w:val="00743C47"/>
    <w:rsid w:val="007525C4"/>
    <w:rsid w:val="00766EE2"/>
    <w:rsid w:val="00766F5E"/>
    <w:rsid w:val="0078120A"/>
    <w:rsid w:val="007A6D37"/>
    <w:rsid w:val="007B2B95"/>
    <w:rsid w:val="007C3604"/>
    <w:rsid w:val="007D21CF"/>
    <w:rsid w:val="007F0171"/>
    <w:rsid w:val="007F6FF8"/>
    <w:rsid w:val="008263AB"/>
    <w:rsid w:val="00835054"/>
    <w:rsid w:val="008457DC"/>
    <w:rsid w:val="00861683"/>
    <w:rsid w:val="00897D98"/>
    <w:rsid w:val="008D5AEC"/>
    <w:rsid w:val="008D63AF"/>
    <w:rsid w:val="008E1162"/>
    <w:rsid w:val="008E67E1"/>
    <w:rsid w:val="008E7582"/>
    <w:rsid w:val="008E7A88"/>
    <w:rsid w:val="008F7FCC"/>
    <w:rsid w:val="00930F3F"/>
    <w:rsid w:val="009345B8"/>
    <w:rsid w:val="00966461"/>
    <w:rsid w:val="009679F4"/>
    <w:rsid w:val="00974177"/>
    <w:rsid w:val="00975E00"/>
    <w:rsid w:val="00996E8E"/>
    <w:rsid w:val="009D7276"/>
    <w:rsid w:val="00A05754"/>
    <w:rsid w:val="00A13B49"/>
    <w:rsid w:val="00A22816"/>
    <w:rsid w:val="00A87225"/>
    <w:rsid w:val="00AC747C"/>
    <w:rsid w:val="00AD0A1A"/>
    <w:rsid w:val="00AD278C"/>
    <w:rsid w:val="00B1547F"/>
    <w:rsid w:val="00B80C42"/>
    <w:rsid w:val="00B871B7"/>
    <w:rsid w:val="00BC0631"/>
    <w:rsid w:val="00C0285F"/>
    <w:rsid w:val="00C36A2A"/>
    <w:rsid w:val="00C477FC"/>
    <w:rsid w:val="00C54BEF"/>
    <w:rsid w:val="00C663B9"/>
    <w:rsid w:val="00C720E0"/>
    <w:rsid w:val="00C81869"/>
    <w:rsid w:val="00C913C7"/>
    <w:rsid w:val="00CA0992"/>
    <w:rsid w:val="00CB478E"/>
    <w:rsid w:val="00D062A2"/>
    <w:rsid w:val="00D143B9"/>
    <w:rsid w:val="00D30CCA"/>
    <w:rsid w:val="00D42F42"/>
    <w:rsid w:val="00D60CC6"/>
    <w:rsid w:val="00D6105F"/>
    <w:rsid w:val="00E4741F"/>
    <w:rsid w:val="00E509FE"/>
    <w:rsid w:val="00E5695B"/>
    <w:rsid w:val="00E6243D"/>
    <w:rsid w:val="00E63A40"/>
    <w:rsid w:val="00E86788"/>
    <w:rsid w:val="00E94052"/>
    <w:rsid w:val="00EB28D2"/>
    <w:rsid w:val="00ED2FB7"/>
    <w:rsid w:val="00EE4A6E"/>
    <w:rsid w:val="00EF3A97"/>
    <w:rsid w:val="00F069FC"/>
    <w:rsid w:val="00F16BAE"/>
    <w:rsid w:val="00F1788C"/>
    <w:rsid w:val="00F20F71"/>
    <w:rsid w:val="00F576F6"/>
    <w:rsid w:val="00F6218A"/>
    <w:rsid w:val="00F83E83"/>
    <w:rsid w:val="00F87E4D"/>
    <w:rsid w:val="00FE28BC"/>
    <w:rsid w:val="00FF7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D62C3"/>
  <w15:chartTrackingRefBased/>
  <w15:docId w15:val="{DF9F13D0-677E-4840-9FC7-9D6D649BE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1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1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1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11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1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1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1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1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1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1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1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1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1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1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1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3B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3BBA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E5695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tpm2-software/tpm2-tool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pm2-software/tpm2-tss" TargetMode="External"/><Relationship Id="rId5" Type="http://schemas.openxmlformats.org/officeDocument/2006/relationships/hyperlink" Target="https://trustedcomputinggroup.org/resource/tpm-library-specification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3</Pages>
  <Words>980</Words>
  <Characters>5058</Characters>
  <Application>Microsoft Office Word</Application>
  <DocSecurity>0</DocSecurity>
  <Lines>95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england.paul@gmail.com</dc:creator>
  <cp:keywords/>
  <dc:description/>
  <cp:lastModifiedBy>Paul England</cp:lastModifiedBy>
  <cp:revision>131</cp:revision>
  <dcterms:created xsi:type="dcterms:W3CDTF">2025-10-04T23:23:00Z</dcterms:created>
  <dcterms:modified xsi:type="dcterms:W3CDTF">2026-01-20T00:01:00Z</dcterms:modified>
</cp:coreProperties>
</file>